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64a6d8c8ff435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0d9ad32154d1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4f886e89092c4826">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and 2012–13</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 per cent of CDs, quintile 2 contains the next 20 per cent and so on. Further information on SEIFA can be found in the ABS Technical paper </w:t>
            </w:r>
            <w:hyperlink w:history="true" r:id="Rb13f3e1fb21349f0">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by 2011 Remoteness (major cities, inner and outer regional, remote and very remote Australia) and 2011 SEIFA.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 </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There has been extensive aggregation of categories in this year‘s specifications (ie waiting time categories, SEIFA and remoteness categories have all been aggregated from last year‘s more detailed cross classifications). However, even with the aforementioned aggregations, RSEs for this indicator are often greater than 25 per cent and should either be used with caution or are considered too unreliable for general use. Specifically, data for the "one month or less" waiting time category, as well as State data for SA, Tas, ACT and NT all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Patient Experience Survey, and were again asked in the 2012–13 cycle.</w:t>
            </w:r>
          </w:p>
          <w:p>
            <w:pPr>
              <w:spacing w:after="160"/>
            </w:pPr>
            <w:r>
              <w:rPr>
                <w:rStyle w:val="row-content-rich-text"/>
              </w:rPr>
              <w:t xml:space="preserve">ABS recommends that this data item is not comparable over time. There was a significant change in question wording and sequencing in the 2012–13 Patient Experience Survey for the 'waiting times for public dentistry' questions. In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e7688f0844897">
              <w:r>
                <w:rPr>
                  <w:rStyle w:val="Hyperlink"/>
                </w:rPr>
                <w:t xml:space="preserve">National Healthcare Agreement: PI 13-Waiting times for public dentistry, 2013 QS</w:t>
              </w:r>
            </w:hyperlink>
          </w:p>
          <w:p>
            <w:pPr>
              <w:pStyle w:val="registration-status"/>
              <w:spacing w:before="0" w:after="0"/>
            </w:pPr>
            <w:hyperlink w:history="true" r:id="R89ed85fba55f451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99b4af98c0448d3">
              <w:r>
                <w:rPr>
                  <w:rStyle w:val="Hyperlink"/>
                </w:rPr>
                <w:t xml:space="preserve">National Healthcare Agreement: PI 13-Waiting times for public dentistry, 2015 QS</w:t>
              </w:r>
            </w:hyperlink>
          </w:p>
          <w:p>
            <w:pPr>
              <w:pStyle w:val="registration-status"/>
              <w:spacing w:before="0" w:after="0"/>
            </w:pPr>
            <w:hyperlink w:history="true" r:id="R156cafc6b34c424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512c9918775478b">
              <w:r>
                <w:rPr>
                  <w:rStyle w:val="Hyperlink"/>
                </w:rPr>
                <w:t xml:space="preserve">National Healthcare Agreement: PI 13-Waiting times for public dentistry (Australian Aboriginal and Torres Strait Islander Health Survey), 2014 QS</w:t>
              </w:r>
            </w:hyperlink>
          </w:p>
          <w:p>
            <w:pPr>
              <w:pStyle w:val="registration-status"/>
              <w:spacing w:before="0" w:after="0"/>
            </w:pPr>
            <w:hyperlink w:history="true" r:id="R0646d3117b1f4c53">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6cc092336a4e73">
              <w:r>
                <w:rPr>
                  <w:rStyle w:val="Hyperlink"/>
                </w:rPr>
                <w:t xml:space="preserve">National Healthcare Agreement: PI 13-Waiting times for public dentistry, 2014</w:t>
              </w:r>
            </w:hyperlink>
          </w:p>
          <w:p>
            <w:pPr>
              <w:pStyle w:val="registration-status"/>
              <w:spacing w:before="0" w:after="0"/>
            </w:pPr>
            <w:hyperlink w:history="true" r:id="R57d7e9dc75aa468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0daf06dd248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1ee427a22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af06dd24844fb" /><Relationship Type="http://schemas.openxmlformats.org/officeDocument/2006/relationships/header" Target="/word/header1.xml" Id="Re4e4517162754f6d" /><Relationship Type="http://schemas.openxmlformats.org/officeDocument/2006/relationships/settings" Target="/word/settings.xml" Id="R9c9b8148ed594395" /><Relationship Type="http://schemas.openxmlformats.org/officeDocument/2006/relationships/styles" Target="/word/styles.xml" Id="R5904d0a5333542c8" /><Relationship Type="http://schemas.openxmlformats.org/officeDocument/2006/relationships/numbering" Target="/word/numbering.xml" Id="Ra8f0c6ff1b884ad8" /><Relationship Type="http://schemas.openxmlformats.org/officeDocument/2006/relationships/hyperlink" Target="https://meteor-uat.aihw.gov.au/RegistrationAuthority/14" TargetMode="External" Id="Rfd90d9ad32154d10" /><Relationship Type="http://schemas.openxmlformats.org/officeDocument/2006/relationships/hyperlink" Target="http://www.abs.gov.au/websitedbs/d3310114.nsf/4a256353001af3ed4b2562bb00121564/10ca14cb967e5b83ca2573ae00197b65!OpenDocument" TargetMode="External" Id="R4f886e89092c4826" /><Relationship Type="http://schemas.openxmlformats.org/officeDocument/2006/relationships/hyperlink" Target="http://www.abs.gov.au/AUSSTATS/abs@.nsf/Lookup/2033.0.55.001Main+Features12011?OpenDocument" TargetMode="External" Id="Rb13f3e1fb21349f0" /><Relationship Type="http://schemas.openxmlformats.org/officeDocument/2006/relationships/hyperlink" Target="https://meteor-uat.aihw.gov.au/content/511937" TargetMode="External" Id="Rccae7688f0844897" /><Relationship Type="http://schemas.openxmlformats.org/officeDocument/2006/relationships/hyperlink" Target="https://meteor-uat.aihw.gov.au/RegistrationAuthority/14" TargetMode="External" Id="R89ed85fba55f4512" /><Relationship Type="http://schemas.openxmlformats.org/officeDocument/2006/relationships/hyperlink" Target="https://meteor-uat.aihw.gov.au/content/559119" TargetMode="External" Id="R999b4af98c0448d3" /><Relationship Type="http://schemas.openxmlformats.org/officeDocument/2006/relationships/hyperlink" Target="https://meteor-uat.aihw.gov.au/RegistrationAuthority/14" TargetMode="External" Id="R156cafc6b34c4244" /><Relationship Type="http://schemas.openxmlformats.org/officeDocument/2006/relationships/hyperlink" Target="https://meteor-uat.aihw.gov.au/content/595827" TargetMode="External" Id="Rd512c9918775478b" /><Relationship Type="http://schemas.openxmlformats.org/officeDocument/2006/relationships/hyperlink" Target="https://meteor-uat.aihw.gov.au/RegistrationAuthority/14" TargetMode="External" Id="R0646d3117b1f4c53" /><Relationship Type="http://schemas.openxmlformats.org/officeDocument/2006/relationships/hyperlink" Target="https://meteor-uat.aihw.gov.au/content/517658" TargetMode="External" Id="Ra96cc092336a4e73" /><Relationship Type="http://schemas.openxmlformats.org/officeDocument/2006/relationships/hyperlink" Target="https://meteor-uat.aihw.gov.au/RegistrationAuthority/14" TargetMode="External" Id="R57d7e9dc75aa468a" /></Relationships>
</file>

<file path=word/_rels/header1.xml.rels>&#65279;<?xml version="1.0" encoding="utf-8"?><Relationships xmlns="http://schemas.openxmlformats.org/package/2006/relationships"><Relationship Type="http://schemas.openxmlformats.org/officeDocument/2006/relationships/image" Target="/media/image.png" Id="R7421ee427a2249a0" /></Relationships>
</file>