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cbe57f41c44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d977cc77b440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Australian Bureau of Statistics (ABS), financing and governance arrangements, and mechanisms for scrutiny of ABS operations, see </w:t>
            </w:r>
            <w:hyperlink w:history="true" r:id="R641150c54142489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w:t>
            </w:r>
            <w:r>
              <w:rPr>
                <w:rStyle w:val="row-content-rich-text"/>
                <w:i/>
              </w:rPr>
              <w:t xml:space="preserve">Data Cube: Standard Population for Use in Age-Standardisation Table in Australian Demographic Statistics</w:t>
            </w:r>
            <w:r>
              <w:rPr>
                <w:rStyle w:val="row-content-rich-text"/>
              </w:rPr>
              <w:t xml:space="preserve">, Dec 2012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2009 and 2010 in Causes of Death, Australia, 2011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the NHA,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Deaths, Australia, 2010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ddc7860dd34e62">
              <w:r>
                <w:rPr>
                  <w:rStyle w:val="Hyperlink"/>
                </w:rPr>
                <w:t xml:space="preserve">National Healthcare Agreement: PI 16-Potentially avoidable deaths, 2013 QS</w:t>
              </w:r>
            </w:hyperlink>
          </w:p>
          <w:p>
            <w:pPr>
              <w:pStyle w:val="registration-status"/>
              <w:spacing w:before="0" w:after="0"/>
            </w:pPr>
            <w:hyperlink w:history="true" r:id="R0d3a88c034a84e0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068e3f6ab2b4da0">
              <w:r>
                <w:rPr>
                  <w:rStyle w:val="Hyperlink"/>
                </w:rPr>
                <w:t xml:space="preserve">National Healthcare Agreement: PI 16-Potentially avoidable deaths, 2015 QS</w:t>
              </w:r>
            </w:hyperlink>
          </w:p>
          <w:p>
            <w:pPr>
              <w:pStyle w:val="registration-status"/>
              <w:spacing w:before="0" w:after="0"/>
            </w:pPr>
            <w:hyperlink w:history="true" r:id="Recb77c6df4df433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8398643eed34d9b">
              <w:r>
                <w:rPr>
                  <w:rStyle w:val="Hyperlink"/>
                </w:rPr>
                <w:t xml:space="preserve">National Healthcare Agreement: PI 16-Potentially avoidable deaths, 2014</w:t>
              </w:r>
            </w:hyperlink>
          </w:p>
          <w:p>
            <w:pPr>
              <w:pStyle w:val="registration-status"/>
              <w:spacing w:before="0" w:after="0"/>
            </w:pPr>
            <w:hyperlink w:history="true" r:id="R38cade4ccd4c482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a827e61bf40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99be7282b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27e61bf404888" /><Relationship Type="http://schemas.openxmlformats.org/officeDocument/2006/relationships/header" Target="/word/header1.xml" Id="R3ad3c30107ad43a4" /><Relationship Type="http://schemas.openxmlformats.org/officeDocument/2006/relationships/settings" Target="/word/settings.xml" Id="Rf3768157380b41bd" /><Relationship Type="http://schemas.openxmlformats.org/officeDocument/2006/relationships/styles" Target="/word/styles.xml" Id="R0daaa948c2454546" /><Relationship Type="http://schemas.openxmlformats.org/officeDocument/2006/relationships/hyperlink" Target="https://meteor-uat.aihw.gov.au/RegistrationAuthority/14" TargetMode="External" Id="R60ed977cc77b440d" /><Relationship Type="http://schemas.openxmlformats.org/officeDocument/2006/relationships/hyperlink" Target="https://meteor-uat.aihw.gov.au/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TargetMode="External" Id="R641150c541424895" /><Relationship Type="http://schemas.openxmlformats.org/officeDocument/2006/relationships/hyperlink" Target="https://meteor-uat.aihw.gov.au/content/511943" TargetMode="External" Id="R06ddc7860dd34e62" /><Relationship Type="http://schemas.openxmlformats.org/officeDocument/2006/relationships/hyperlink" Target="https://meteor-uat.aihw.gov.au/RegistrationAuthority/14" TargetMode="External" Id="R0d3a88c034a84e02" /><Relationship Type="http://schemas.openxmlformats.org/officeDocument/2006/relationships/hyperlink" Target="https://meteor-uat.aihw.gov.au/content/559115" TargetMode="External" Id="R9068e3f6ab2b4da0" /><Relationship Type="http://schemas.openxmlformats.org/officeDocument/2006/relationships/hyperlink" Target="https://meteor-uat.aihw.gov.au/RegistrationAuthority/14" TargetMode="External" Id="Recb77c6df4df4335" /><Relationship Type="http://schemas.openxmlformats.org/officeDocument/2006/relationships/hyperlink" Target="https://meteor-uat.aihw.gov.au/content/517652" TargetMode="External" Id="R88398643eed34d9b" /><Relationship Type="http://schemas.openxmlformats.org/officeDocument/2006/relationships/hyperlink" Target="https://meteor-uat.aihw.gov.au/RegistrationAuthority/14" TargetMode="External" Id="R38cade4ccd4c482a" /></Relationships>
</file>

<file path=word/_rels/header1.xml.rels>&#65279;<?xml version="1.0" encoding="utf-8"?><Relationships xmlns="http://schemas.openxmlformats.org/package/2006/relationships"><Relationship Type="http://schemas.openxmlformats.org/officeDocument/2006/relationships/image" Target="/media/image.png" Id="R92a99be7282b4d68" /></Relationships>
</file>