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1d658c79d441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2774634b1423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Separations are reported by the jurisdiction of usual residence of the patient, not the jurisdiction of hospitalisation.</w:t>
            </w:r>
          </w:p>
          <w:p>
            <w:pPr>
              <w:spacing w:after="160"/>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2011–12)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spacing w:after="160"/>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c7b90455fc34d7c">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f7012d5140e8460a">
              <w:r>
                <w:rPr>
                  <w:rStyle w:val="Hyperlink"/>
                </w:rPr>
                <w:t xml:space="preserve">http://www.aihw.gov.au/nhissc/</w:t>
              </w:r>
            </w:hyperlink>
          </w:p>
          <w:p>
            <w:hyperlink w:history="true" r:id="R7c220fbef18e40b7">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faedced66b0549d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d8783e45aadd4086">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42f9d559f57b42de">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In</w:t>
            </w:r>
            <w:r>
              <w:rPr>
                <w:rStyle w:val="row-content-rich-text"/>
                <w:i/>
              </w:rPr>
              <w:t xml:space="preserve">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3"/>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the ICD-10-AM 6th edition (used in 2008–09 and 2009–10) and ICD-10-AM 7th edition (used in 2010–11 and 2011–12) and the associated Australian Coding Standards that resulted in:</w:t>
            </w:r>
          </w:p>
          <w:p>
            <w:pPr>
              <w:pStyle w:val="ListParagraph"/>
              <w:numPr>
                <w:ilvl w:val="0"/>
                <w:numId w:val="4"/>
              </w:numPr>
            </w:pPr>
            <w:r>
              <w:rPr>
                <w:rStyle w:val="row-content-rich-text"/>
              </w:rPr>
              <w:t xml:space="preserve">decreased reporting of additional diagnoses for diabetes</w:t>
            </w:r>
          </w:p>
          <w:p>
            <w:pPr>
              <w:pStyle w:val="ListParagraph"/>
              <w:numPr>
                <w:ilvl w:val="0"/>
                <w:numId w:val="4"/>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the data presented for 2011–12 exclude:</w:t>
            </w:r>
          </w:p>
          <w:p>
            <w:pPr>
              <w:pStyle w:val="ListParagraph"/>
              <w:numPr>
                <w:ilvl w:val="0"/>
                <w:numId w:val="5"/>
              </w:numPr>
            </w:pPr>
            <w:r>
              <w:rPr>
                <w:rStyle w:val="row-content-rich-text"/>
              </w:rPr>
              <w:t xml:space="preserve">Diabetes complications (additional diagnoses only) from the chronic conditions category, and</w:t>
            </w:r>
          </w:p>
          <w:p>
            <w:pPr>
              <w:pStyle w:val="ListParagraph"/>
              <w:numPr>
                <w:ilvl w:val="0"/>
                <w:numId w:val="5"/>
              </w:numPr>
            </w:pPr>
            <w:r>
              <w:rPr>
                <w:rStyle w:val="row-content-rich-text"/>
              </w:rPr>
              <w:t xml:space="preserve">Dehydration and gastroenteritis from the acute conditions category, and  </w:t>
            </w:r>
          </w:p>
          <w:p>
            <w:pPr>
              <w:pStyle w:val="ListParagraph"/>
              <w:numPr>
                <w:ilvl w:val="0"/>
                <w:numId w:val="5"/>
              </w:numPr>
            </w:pPr>
            <w:r>
              <w:rPr>
                <w:rStyle w:val="row-content-rich-text"/>
              </w:rPr>
              <w:t xml:space="preserve">Diabetes complications (additional diagnoses only) and dehydration and gastroenteritis from the total. </w:t>
            </w:r>
          </w:p>
          <w:p>
            <w:pPr>
              <w:spacing w:after="160"/>
            </w:pPr>
            <w:r>
              <w:rPr>
                <w:rStyle w:val="row-content-rich-text"/>
              </w:rPr>
              <w:t xml:space="preserve">However it should be acknowledged that these data are not consistent with the original intent of the indicator.</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Following the 2011 Census of Population and Housing, the Australian Bureau of Statistics (ABS) has rebased the Australian population back to 1991.  This rebasing had a significant impact on the population time series, therefore data have been resupplied for previous years using the rebased Estimated Resident Population (ERP).  The exception is for data presented by Indigenous status.  Rebased Indigenous population data are not yet available, thus data presented by Indigenous status use 2006 based ERP.</w:t>
            </w:r>
          </w:p>
          <w:p>
            <w:pPr/>
            <w:r>
              <w:rPr>
                <w:rStyle w:val="row-content-rich-text"/>
              </w:rPr>
              <w:t xml:space="preserve">In 2011, the ABS updated the Socio-Economic Indexes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c2aba99854770">
              <w:r>
                <w:rPr>
                  <w:rStyle w:val="Hyperlink"/>
                </w:rPr>
                <w:t xml:space="preserve">National Healthcare Agreement: PI 18-Selected potentially preventable hospitalisations, 2013 QS</w:t>
              </w:r>
            </w:hyperlink>
          </w:p>
          <w:p>
            <w:pPr>
              <w:pStyle w:val="registration-status"/>
              <w:spacing w:before="0" w:after="0"/>
            </w:pPr>
            <w:hyperlink w:history="true" r:id="Ra4324959826e4d1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5c0883845b54356">
              <w:r>
                <w:rPr>
                  <w:rStyle w:val="Hyperlink"/>
                </w:rPr>
                <w:t xml:space="preserve">National Healthcare Agreement: PI 18-Selected potentially preventable hospitalisations, 2015 QS</w:t>
              </w:r>
            </w:hyperlink>
          </w:p>
          <w:p>
            <w:pPr>
              <w:pStyle w:val="registration-status"/>
              <w:spacing w:before="0" w:after="0"/>
            </w:pPr>
            <w:hyperlink w:history="true" r:id="R4e62ab4bf0964df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4e8d20277cf45b4">
              <w:r>
                <w:rPr>
                  <w:rStyle w:val="Hyperlink"/>
                </w:rPr>
                <w:t xml:space="preserve">National Healthcare Agreement: PI 18-Selected potentially preventable hospitalisations, 2014</w:t>
              </w:r>
            </w:hyperlink>
          </w:p>
          <w:p>
            <w:pPr>
              <w:pStyle w:val="registration-status"/>
              <w:spacing w:before="0" w:after="0"/>
            </w:pPr>
            <w:hyperlink w:history="true" r:id="R109a4110fc90428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39d6e86d1df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dd4302360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d6e86d1df439c" /><Relationship Type="http://schemas.openxmlformats.org/officeDocument/2006/relationships/header" Target="/word/header1.xml" Id="Rbe1e2a9113884648" /><Relationship Type="http://schemas.openxmlformats.org/officeDocument/2006/relationships/settings" Target="/word/settings.xml" Id="R4f1035c96ec6461b" /><Relationship Type="http://schemas.openxmlformats.org/officeDocument/2006/relationships/styles" Target="/word/styles.xml" Id="Rc440f7fcf12443d0" /><Relationship Type="http://schemas.openxmlformats.org/officeDocument/2006/relationships/numbering" Target="/word/numbering.xml" Id="Rdd62151d41324de3" /><Relationship Type="http://schemas.openxmlformats.org/officeDocument/2006/relationships/hyperlink" Target="https://meteor-uat.aihw.gov.au/RegistrationAuthority/14" TargetMode="External" Id="R7262774634b14230" /><Relationship Type="http://schemas.openxmlformats.org/officeDocument/2006/relationships/hyperlink" Target="http://www.aihw.gov.au/" TargetMode="External" Id="Rac7b90455fc34d7c" /><Relationship Type="http://schemas.openxmlformats.org/officeDocument/2006/relationships/hyperlink" Target="http://www.aihw.gov.au/nhissc/" TargetMode="External" Id="Rf7012d5140e8460a" /><Relationship Type="http://schemas.openxmlformats.org/officeDocument/2006/relationships/hyperlink" Target="https://meteor-uat.aihw.gov.au/content/182135" TargetMode="External" Id="R7c220fbef18e40b7" /><Relationship Type="http://schemas.openxmlformats.org/officeDocument/2006/relationships/hyperlink" Target="http://www.aihw.gov.au/hospitals/" TargetMode="External" Id="Rfaedced66b0549d8" /><Relationship Type="http://schemas.openxmlformats.org/officeDocument/2006/relationships/hyperlink" Target="http://www.aihw.gov.au/publication-detail/?id=10737422826" TargetMode="External" Id="Rd8783e45aadd4086" /><Relationship Type="http://schemas.openxmlformats.org/officeDocument/2006/relationships/hyperlink" Target="https://meteor-uat.aihw.gov.au/content/529483" TargetMode="External" Id="R42f9d559f57b42de" /><Relationship Type="http://schemas.openxmlformats.org/officeDocument/2006/relationships/hyperlink" Target="https://meteor-uat.aihw.gov.au/content/507151" TargetMode="External" Id="R786c2aba99854770" /><Relationship Type="http://schemas.openxmlformats.org/officeDocument/2006/relationships/hyperlink" Target="https://meteor-uat.aihw.gov.au/RegistrationAuthority/14" TargetMode="External" Id="Ra4324959826e4d1d" /><Relationship Type="http://schemas.openxmlformats.org/officeDocument/2006/relationships/hyperlink" Target="https://meteor-uat.aihw.gov.au/content/559111" TargetMode="External" Id="Rb5c0883845b54356" /><Relationship Type="http://schemas.openxmlformats.org/officeDocument/2006/relationships/hyperlink" Target="https://meteor-uat.aihw.gov.au/RegistrationAuthority/14" TargetMode="External" Id="R4e62ab4bf0964df6" /><Relationship Type="http://schemas.openxmlformats.org/officeDocument/2006/relationships/hyperlink" Target="https://meteor-uat.aihw.gov.au/content/517648" TargetMode="External" Id="R24e8d20277cf45b4" /><Relationship Type="http://schemas.openxmlformats.org/officeDocument/2006/relationships/hyperlink" Target="https://meteor-uat.aihw.gov.au/RegistrationAuthority/14" TargetMode="External" Id="R109a4110fc90428c" /></Relationships>
</file>

<file path=word/_rels/header1.xml.rels>&#65279;<?xml version="1.0" encoding="utf-8"?><Relationships xmlns="http://schemas.openxmlformats.org/package/2006/relationships"><Relationship Type="http://schemas.openxmlformats.org/officeDocument/2006/relationships/image" Target="/media/image.png" Id="R7e6dd43023604db0" /></Relationships>
</file>