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691128f20047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a227ed8424c2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w:t>
            </w:r>
          </w:p>
          <w:p>
            <w:pPr>
              <w:pStyle w:val="ListParagraph"/>
              <w:numPr>
                <w:ilvl w:val="0"/>
                <w:numId w:val="2"/>
              </w:numPr>
            </w:pPr>
            <w:r>
              <w:rPr>
                <w:rStyle w:val="row-content-rich-text"/>
              </w:rPr>
              <w:t xml:space="preserve">Results for the indicator are estimates because the survey data have undergone imputation and weighting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 </w:t>
            </w:r>
          </w:p>
          <w:p>
            <w:pPr>
              <w:pStyle w:val="ListParagraph"/>
              <w:numPr>
                <w:ilvl w:val="0"/>
                <w:numId w:val="2"/>
              </w:numPr>
            </w:pPr>
            <w:r>
              <w:rPr>
                <w:rStyle w:val="row-content-rich-text"/>
              </w:rPr>
              <w:t xml:space="preserve">The 2011 and 2012 allied health workforce indicator data exclude provisional registrants.</w:t>
            </w:r>
          </w:p>
          <w:p>
            <w:pPr>
              <w:pStyle w:val="ListParagraph"/>
              <w:numPr>
                <w:ilvl w:val="0"/>
                <w:numId w:val="2"/>
              </w:numPr>
            </w:pPr>
            <w:r>
              <w:rPr>
                <w:rStyle w:val="row-content-rich-text"/>
              </w:rPr>
              <w:t xml:space="preserve">The 2012 dental, medical and nursing and midwifery workforce indicator data exclude provisional registrants.</w:t>
            </w:r>
          </w:p>
          <w:p>
            <w:pPr>
              <w:pStyle w:val="ListParagraph"/>
              <w:numPr>
                <w:ilvl w:val="0"/>
                <w:numId w:val="2"/>
              </w:numPr>
            </w:pPr>
            <w:r>
              <w:rPr>
                <w:rStyle w:val="row-content-rich-text"/>
              </w:rPr>
              <w:t xml:space="preserve">Data have been revised since the publication of Medical workforce 2010, Medical workforce 2011 and Nursing and midwifery workforce 2011, so these data will not match data previously published.</w:t>
            </w:r>
          </w:p>
          <w:p>
            <w:pPr>
              <w:pStyle w:val="ListParagraph"/>
              <w:numPr>
                <w:ilvl w:val="0"/>
                <w:numId w:val="2"/>
              </w:numPr>
            </w:pPr>
            <w:r>
              <w:rPr>
                <w:rStyle w:val="row-content-rich-text"/>
              </w:rPr>
              <w:t xml:space="preserve">The 2011 data for osteopaths in the allied health workforce has been revised since the publication of Allied health workforce 2012, so the data will not match data previously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three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is responsible for the development of the health workforce surveys.</w:t>
            </w:r>
          </w:p>
          <w:p>
            <w:pPr>
              <w:spacing w:after="160"/>
            </w:pPr>
            <w:r>
              <w:rPr>
                <w:rStyle w:val="row-content-rich-text"/>
              </w:rPr>
              <w:t xml:space="preserve">The AIHW receives registration and survey data from the AHPRA. The registration and workforce survey data are combined, cleansed and adjusted for non-response to form NHWDS, and the findings reported by profession. AIHW is the data custodian of the NHWDS. These data are used for workforce planning, monitoring and reporting.</w:t>
            </w:r>
          </w:p>
          <w:p>
            <w:pPr/>
            <w:r>
              <w:rPr>
                <w:rStyle w:val="row-content-rich-text"/>
              </w:rPr>
              <w:t xml:space="preserve">The AIHW is an independent statutory authority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p>
          <w:p>
            <w:pPr>
              <w:spacing w:after="160"/>
            </w:pP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w:t>
            </w:r>
            <w:r>
              <w:rPr>
                <w:rStyle w:val="row-content-rich-text"/>
                <w:i/>
              </w:rPr>
              <w:t xml:space="preserve">Medical practitioners 2010, 2011 and 2012</w:t>
            </w:r>
          </w:p>
          <w:p>
            <w:pPr>
              <w:spacing w:after="160"/>
            </w:pP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 The period for the 2010 renewal process was extended to the end of January 2011. Despite this extension, there were still Queensland and Western Australia registrants with expiry dates after January. Therefore data from these states were not included in the 2010 data set.</w:t>
            </w:r>
          </w:p>
          <w:p>
            <w:pPr>
              <w:spacing w:after="160"/>
            </w:pPr>
            <w:r>
              <w:rPr>
                <w:rStyle w:val="row-content-rich-text"/>
              </w:rPr>
              <w:t xml:space="preserve">—</w:t>
            </w:r>
            <w:r>
              <w:rPr>
                <w:rStyle w:val="row-content-rich-text"/>
                <w:i/>
              </w:rPr>
              <w:t xml:space="preserve">Nurses and midwives 2011 and 2012</w:t>
            </w:r>
          </w:p>
          <w:p>
            <w:pPr>
              <w:spacing w:after="160"/>
            </w:pP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w:t>
            </w:r>
          </w:p>
          <w:p>
            <w:pPr>
              <w:spacing w:after="160"/>
            </w:pPr>
            <w:r>
              <w:rPr>
                <w:rStyle w:val="row-content-rich-text"/>
              </w:rPr>
              <w:t xml:space="preserve">—</w:t>
            </w:r>
            <w:r>
              <w:rPr>
                <w:rStyle w:val="row-content-rich-text"/>
                <w:i/>
              </w:rPr>
              <w:t xml:space="preserve">Dental practitioners 2011 and 2012</w:t>
            </w:r>
          </w:p>
          <w:p>
            <w:pPr>
              <w:spacing w:after="160"/>
            </w:pPr>
            <w:r>
              <w:rPr>
                <w:rStyle w:val="row-content-rich-text"/>
              </w:rPr>
              <w:t xml:space="preserve">The NHWDS: dental practitioners is produced annually from information collected by the national registration renewal process, conducted between 1 September and 30 November each year, including the collection of the Dental Workforce Survey. Practitioners with limited registration are due for renewal on the anniversary of their first registration and can thus renew and complete a survey at any time through the year.</w:t>
            </w:r>
          </w:p>
          <w:p>
            <w:pPr>
              <w:spacing w:after="160"/>
            </w:pPr>
            <w:r>
              <w:rPr>
                <w:rStyle w:val="row-content-rich-text"/>
              </w:rPr>
              <w:t xml:space="preserve">—</w:t>
            </w:r>
            <w:r>
              <w:rPr>
                <w:rStyle w:val="row-content-rich-text"/>
                <w:i/>
              </w:rPr>
              <w:t xml:space="preserve">Allied health practitioners 2011 and 2012</w:t>
            </w:r>
          </w:p>
          <w:p>
            <w:pP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 Practitioners with limited registration are due for renewal on the anniversary of their first registration and can thus renew and complete a survey at any time through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reports, survey questionnaires, user guides to the data sets and supplementary detailed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reports, supplementary detailed tables and data quality statements to the data set for each. For individual allied health professions, information about their workforce surveys is available in the Allied health workforce 2012 report and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dental practitioners, nurses/midwives and allied health practitioners are required by law to be registered with their relevant national board to practise in Australia. All medical practitioners, dental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2010, 2011 and 2012</w:t>
            </w:r>
          </w:p>
          <w:p>
            <w:pPr>
              <w:spacing w:after="160"/>
            </w:pPr>
            <w:r>
              <w:rPr>
                <w:rStyle w:val="row-content-rich-text"/>
              </w:rPr>
              <w:t xml:space="preserve">The NHWDS: medical practitioners 2010, 2011 and 2012 contain registration details of all registered medical practitioners in Australia, at 30 September on the annual renewal date. Data were extracted from the AHPRA database at the end of November of the same year. The NHWDS also contains workforce data of respondents whose principal state of practice was not Queensland or Western Australia, obtained from the Medical Workforce Survey 2010. These states were excluded from the survey because not all registrations in these states expired prior to the national registration deadline. In 2011 and 2012, the NHWDS contains workforce data obtained from the Medical Workforce Survey for all states and territories.</w:t>
            </w:r>
          </w:p>
          <w:p>
            <w:pPr>
              <w:spacing w:after="160"/>
            </w:pPr>
            <w:r>
              <w:rPr>
                <w:rStyle w:val="row-content-rich-text"/>
                <w:u w:val="single"/>
              </w:rPr>
              <w:t xml:space="preserve">National Health Workforce Data Set: dental practitioners 2011 and 2012</w:t>
            </w:r>
          </w:p>
          <w:p>
            <w:pPr>
              <w:spacing w:after="160"/>
            </w:pPr>
            <w:r>
              <w:rPr>
                <w:rStyle w:val="row-content-rich-text"/>
              </w:rPr>
              <w:t xml:space="preserve">The NHWDS: dental practitioners 2011 and 2012 contain registration details of all registered dental practitioners in Australia, at 30 November on the annual renewal date. Data were extracted from the AHPRA database at the end of January the following year. In 2011 and 2012, the NHWDS contains workforce data obtained from the Dental Workforce Survey.</w:t>
            </w:r>
          </w:p>
          <w:p>
            <w:pPr>
              <w:spacing w:after="160"/>
            </w:pPr>
            <w:r>
              <w:rPr>
                <w:rStyle w:val="row-content-rich-text"/>
                <w:u w:val="single"/>
              </w:rPr>
              <w:t xml:space="preserve">National Health Workforce Data Set: nurses and midwives 2011 and 2012</w:t>
            </w:r>
          </w:p>
          <w:p>
            <w:pPr>
              <w:spacing w:after="160"/>
            </w:pPr>
            <w:r>
              <w:rPr>
                <w:rStyle w:val="row-content-rich-text"/>
              </w:rPr>
              <w:t xml:space="preserve">The NHWDS: nurses and midwives 2011 and 2012 contain registration details of all registered nurses/midwives in Australia at 31 May on the annual renewal date. Data were extracted from the AHPRA database at the end of November of the same year. In 2011 and 2012, the NHWDS contains workforce data obtained from the Nursing and Midwifery Workforce Survey.</w:t>
            </w:r>
          </w:p>
          <w:p>
            <w:pPr>
              <w:spacing w:after="160"/>
            </w:pPr>
            <w:r>
              <w:rPr>
                <w:rStyle w:val="row-content-rich-text"/>
                <w:u w:val="single"/>
              </w:rPr>
              <w:t xml:space="preserve">National Health Workforce Data Set: allied health practitioners 2011 and 2012</w:t>
            </w:r>
          </w:p>
          <w:p>
            <w:pPr>
              <w:spacing w:after="160"/>
            </w:pPr>
            <w:r>
              <w:rPr>
                <w:rStyle w:val="row-content-rich-text"/>
              </w:rPr>
              <w:t xml:space="preserve">The NHWDS: allied health practitioners 2011 and 2012 contain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Indicator data for allied health practitioners are not comparable between 2011 and 2012 due to four additional professions joining the NRAS in 2012. For 2011, data was collected for seven professions: chiropractors, optometrists, osteopaths, pharmacists, physiotherapists, psychologists and podiatrists. For 2012, in addition to the seven in 2011, data was collected for Aboriginal and Torres Strait Islander health practitioners, Chinese medicine practitioners, medical radiation practitioners and occupational therapists.</w:t>
            </w:r>
          </w:p>
          <w:p>
            <w:pPr>
              <w:spacing w:after="160"/>
            </w:pPr>
            <w:r>
              <w:rPr>
                <w:rStyle w:val="row-content-rich-text"/>
              </w:rPr>
              <w:t xml:space="preserve">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The data have undergone imputation for item non response and are weighted to the total number of registered practitioners to adjust for population non response. 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dental practitioners, nurses/midwives or allied health practitioners may have been in fractions, but have been rounded to whole numbers for this indicator. The full-time equivalent (FTE)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dental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The online survey questionnaire does not include electronic sequencing of questions to automatically guide the respondent to the next appropriate question based on previous responses to questions. This resulted in a number of inconsistent responses.</w:t>
            </w:r>
          </w:p>
          <w:p>
            <w:pPr>
              <w:spacing w:after="160"/>
            </w:pPr>
            <w:r>
              <w:rPr>
                <w:rStyle w:val="row-content-rich-text"/>
              </w:rPr>
              <w:t xml:space="preserve">The order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spacing w:after="160"/>
            </w:pPr>
            <w:r>
              <w:rPr>
                <w:rStyle w:val="row-content-rich-text"/>
                <w:i/>
              </w:rPr>
              <w:t xml:space="preserve">National Health Workforce Data Set: medical practitioners 2010, 2011 and 2012</w:t>
            </w:r>
          </w:p>
          <w:p>
            <w:pPr>
              <w:pStyle w:val="ListParagraph"/>
              <w:numPr>
                <w:ilvl w:val="0"/>
                <w:numId w:val="4"/>
              </w:numPr>
            </w:pPr>
            <w:r>
              <w:rPr>
                <w:rStyle w:val="row-content-rich-text"/>
              </w:rPr>
              <w:t xml:space="preserve">The overall response rate for 2010 (excluding Queensland and Western Australia) was 76.6 per cent. </w:t>
            </w:r>
          </w:p>
          <w:p>
            <w:pPr>
              <w:pStyle w:val="ListParagraph"/>
              <w:numPr>
                <w:ilvl w:val="0"/>
                <w:numId w:val="4"/>
              </w:numPr>
            </w:pPr>
            <w:r>
              <w:rPr>
                <w:rStyle w:val="row-content-rich-text"/>
              </w:rPr>
              <w:t xml:space="preserve">The overall response rate for 2011 was 85.3 per cent.</w:t>
            </w:r>
          </w:p>
          <w:p>
            <w:pPr>
              <w:pStyle w:val="ListParagraph"/>
              <w:numPr>
                <w:ilvl w:val="0"/>
                <w:numId w:val="4"/>
              </w:numPr>
            </w:pPr>
            <w:r>
              <w:rPr>
                <w:rStyle w:val="row-content-rich-text"/>
              </w:rPr>
              <w:t xml:space="preserve">The overall response rate for 2012 was 90.1 per cent.</w:t>
            </w:r>
          </w:p>
          <w:p>
            <w:pPr>
              <w:spacing w:after="160"/>
            </w:pPr>
            <w:r>
              <w:rPr>
                <w:rStyle w:val="row-content-rich-text"/>
                <w:i/>
              </w:rPr>
              <w:t xml:space="preserve">National Health Workforce Data Set: nurses and midwives 2011 and 2012</w:t>
            </w:r>
          </w:p>
          <w:p>
            <w:pPr>
              <w:pStyle w:val="ListParagraph"/>
              <w:numPr>
                <w:ilvl w:val="0"/>
                <w:numId w:val="5"/>
              </w:numPr>
            </w:pPr>
            <w:r>
              <w:rPr>
                <w:rStyle w:val="row-content-rich-text"/>
              </w:rPr>
              <w:t xml:space="preserve">The overall response rate for 2011 was 85.1 per cent.</w:t>
            </w:r>
          </w:p>
          <w:p>
            <w:pPr>
              <w:pStyle w:val="ListParagraph"/>
              <w:numPr>
                <w:ilvl w:val="0"/>
                <w:numId w:val="5"/>
              </w:numPr>
            </w:pPr>
            <w:r>
              <w:rPr>
                <w:rStyle w:val="row-content-rich-text"/>
              </w:rPr>
              <w:t xml:space="preserve">The overall response rate for 2012 was 93.3 per cent.</w:t>
            </w:r>
          </w:p>
          <w:p>
            <w:pPr>
              <w:spacing w:after="160"/>
            </w:pPr>
            <w:r>
              <w:rPr>
                <w:rStyle w:val="row-content-rich-text"/>
                <w:i/>
              </w:rPr>
              <w:t xml:space="preserve">National Health Workforce Data Set: dental practitioners 2011 and 2012</w:t>
            </w:r>
          </w:p>
          <w:p>
            <w:pPr>
              <w:pStyle w:val="ListParagraph"/>
              <w:numPr>
                <w:ilvl w:val="0"/>
                <w:numId w:val="6"/>
              </w:numPr>
            </w:pPr>
            <w:r>
              <w:rPr>
                <w:rStyle w:val="row-content-rich-text"/>
              </w:rPr>
              <w:t xml:space="preserve">The overall response rate for 2011 was 88.3 per cent.</w:t>
            </w:r>
          </w:p>
          <w:p>
            <w:pPr>
              <w:pStyle w:val="ListParagraph"/>
              <w:numPr>
                <w:ilvl w:val="0"/>
                <w:numId w:val="6"/>
              </w:numPr>
            </w:pPr>
            <w:r>
              <w:rPr>
                <w:rStyle w:val="row-content-rich-text"/>
              </w:rPr>
              <w:t xml:space="preserve">The overall response rate for 2012 was 92.2 per cent.</w:t>
            </w:r>
          </w:p>
          <w:p>
            <w:pPr>
              <w:spacing w:after="160"/>
            </w:pPr>
            <w:r>
              <w:rPr>
                <w:rStyle w:val="row-content-rich-text"/>
                <w:i/>
              </w:rPr>
              <w:t xml:space="preserve">National Health Workforce Data Set: allied health practitioners 2011 and 2012</w:t>
            </w:r>
          </w:p>
          <w:p>
            <w:pPr>
              <w:pStyle w:val="ListParagraph"/>
              <w:numPr>
                <w:ilvl w:val="0"/>
                <w:numId w:val="7"/>
              </w:numPr>
            </w:pPr>
            <w:r>
              <w:rPr>
                <w:rStyle w:val="row-content-rich-text"/>
              </w:rPr>
              <w:t xml:space="preserve">The overall response rate for 2011 was 87.0 per cent.</w:t>
            </w:r>
          </w:p>
          <w:p>
            <w:pPr>
              <w:pStyle w:val="ListParagraph"/>
              <w:numPr>
                <w:ilvl w:val="0"/>
                <w:numId w:val="7"/>
              </w:numPr>
            </w:pPr>
            <w:r>
              <w:rPr>
                <w:rStyle w:val="row-content-rich-text"/>
              </w:rPr>
              <w:t xml:space="preserve">The overall response rate for 2012 was 87.7 per cent.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w:t>
            </w:r>
          </w:p>
          <w:p>
            <w:pPr>
              <w:spacing w:after="160"/>
            </w:pPr>
            <w:r>
              <w:rPr>
                <w:rStyle w:val="row-content-rich-text"/>
              </w:rPr>
              <w:t xml:space="preserve">For this indicator, the workforce surveys for medical practitioners, dental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u w:val="single"/>
              </w:rPr>
              <w:t xml:space="preserve">AIHW Published Numbers</w:t>
            </w:r>
          </w:p>
          <w:p>
            <w:pPr>
              <w:spacing w:after="160"/>
            </w:pPr>
            <w:r>
              <w:rPr>
                <w:rStyle w:val="row-content-rich-text"/>
              </w:rPr>
              <w:t xml:space="preserve">For this indicator, the rates are based on practitioners employed in the medical, allied health and nursing and midwifery workforces, which is consistent with data published in AIHW's workforce reports. Except dental practitioner data are restricted to persons employed in the public sector and are thus not comparable to figures published elsewhere by the AIHW.</w:t>
            </w:r>
          </w:p>
          <w:p>
            <w:pPr>
              <w:spacing w:after="160"/>
            </w:pPr>
            <w:r>
              <w:rPr>
                <w:rStyle w:val="row-content-rich-text"/>
                <w:u w:val="single"/>
              </w:rPr>
              <w:t xml:space="preserve">Registration data from the NRAS—coherence with published AHPRA/Board data</w:t>
            </w:r>
          </w:p>
          <w:p>
            <w:pPr>
              <w:spacing w:after="160"/>
            </w:pPr>
            <w:r>
              <w:rPr>
                <w:rStyle w:val="row-content-rich-text"/>
              </w:rPr>
              <w:t xml:space="preserve">The NHWDS comprises the registration data extracted at a point in time from the NRAS, while the AHPRA/Board numbers include people registered in the previous 12 months, thereby including registrants whose registration terminated during that period (including short term registrants).</w:t>
            </w:r>
          </w:p>
          <w:p>
            <w:pPr>
              <w:spacing w:after="160"/>
            </w:pPr>
            <w:r>
              <w:rPr>
                <w:rStyle w:val="row-content-rich-text"/>
              </w:rPr>
              <w:t xml:space="preserve">For 2011, the only source of published statistics about registered health professionals is the 2010–11 AHPRA annual report. From March 2012, each Board publishes the data on a quarterly basis.</w:t>
            </w:r>
          </w:p>
          <w:p>
            <w:pPr>
              <w:spacing w:after="160"/>
            </w:pPr>
            <w:r>
              <w:rPr>
                <w:rStyle w:val="row-content-rich-text"/>
                <w:i/>
              </w:rPr>
              <w:t xml:space="preserve">Medical practitioners in 2010, 2011 and 2012</w:t>
            </w:r>
          </w:p>
          <w:p>
            <w:pPr>
              <w:spacing w:after="160"/>
            </w:pPr>
            <w:r>
              <w:rPr>
                <w:rStyle w:val="row-content-rich-text"/>
              </w:rPr>
              <w:t xml:space="preserve">The NHWDS numbers of registered medical practitioners for 2010 and 2011 are similar to data reported in the 2010–11 AHPRA annual report. For 2010, there were 84,516 registered practitioners for 2010, compared with 88,293 registered practitioners at 30 June 2011 in the AHPRA annual report.</w:t>
            </w:r>
          </w:p>
          <w:p>
            <w:pPr>
              <w:spacing w:after="160"/>
            </w:pPr>
            <w:r>
              <w:rPr>
                <w:rStyle w:val="row-content-rich-text"/>
              </w:rPr>
              <w:t xml:space="preserve">For 2011, there were 87,790 registered medical practitioners in the NHWDS. Furthermore, the Medical Board of Australia in their quarterly data tables reported 91,354 for March 2012 and 91,645 for June 2012.</w:t>
            </w:r>
          </w:p>
          <w:p>
            <w:pPr>
              <w:spacing w:after="160"/>
            </w:pPr>
            <w:r>
              <w:rPr>
                <w:rStyle w:val="row-content-rich-text"/>
              </w:rPr>
              <w:t xml:space="preserve">For 2012, there were 91,504 registered medical practitioners in the NHWDS, compared with 91,745 reported at December 2012 in the AHPRA quarterly data tables.</w:t>
            </w:r>
          </w:p>
          <w:p>
            <w:pPr>
              <w:spacing w:after="160"/>
            </w:pPr>
            <w:r>
              <w:rPr>
                <w:rStyle w:val="row-content-rich-text"/>
                <w:i/>
              </w:rPr>
              <w:t xml:space="preserve">Nurses/midwives in 2011 and 2012</w:t>
            </w:r>
          </w:p>
          <w:p>
            <w:pPr>
              <w:spacing w:after="160"/>
            </w:pPr>
            <w:r>
              <w:rPr>
                <w:rStyle w:val="row-content-rich-text"/>
              </w:rPr>
              <w:t xml:space="preserve">The NHWDS number of registered nurses and midwives for 2011 is similar to data reported in the 2010–11 AHPRA annual report, with 330,680 registered nurses and midwives in the NHWDS, compared with 332,185 registered nurses and midwives at 30 June 2011 in the AHPRA annual report. The Nursing and Midwifery Board of Australia in their quarterly data tables reported 341,189 for March 2012.</w:t>
            </w:r>
          </w:p>
          <w:p>
            <w:pPr>
              <w:spacing w:after="160"/>
            </w:pPr>
            <w:r>
              <w:rPr>
                <w:rStyle w:val="row-content-rich-text"/>
              </w:rPr>
              <w:t xml:space="preserve">For 2012, there were 334,078 registered nurses and midwives in the NHWDS, compared with 343,703 reported at June 2012 in the 2011–12 AHPRA annual report.</w:t>
            </w:r>
          </w:p>
          <w:p>
            <w:pPr>
              <w:spacing w:after="160"/>
            </w:pPr>
            <w:r>
              <w:rPr>
                <w:rStyle w:val="row-content-rich-text"/>
                <w:i/>
              </w:rPr>
              <w:t xml:space="preserve">Dental practitioners in 2011 and 2012</w:t>
            </w:r>
          </w:p>
          <w:p>
            <w:pPr>
              <w:spacing w:after="160"/>
            </w:pPr>
            <w:r>
              <w:rPr>
                <w:rStyle w:val="row-content-rich-text"/>
              </w:rPr>
              <w:t xml:space="preserve">The NHWDS number of registered dental practitioners for 2011 is similar to data reported in the 2010–11 AHPRA annual report, with 18,660 registered practitioners in the NHWDS, compared with 18,319 registered dental practitioners at 30 June 2011 in the AHPRA annual report. The Dental Board of Australia in their quarterly data tables reported 18,902 for March 2012 and 19,087 for June 2012.</w:t>
            </w:r>
          </w:p>
          <w:p>
            <w:pPr>
              <w:spacing w:after="160"/>
            </w:pPr>
            <w:r>
              <w:rPr>
                <w:rStyle w:val="row-content-rich-text"/>
              </w:rPr>
              <w:t xml:space="preserve">For 2012, there were 19,462 registered dental practitioners in the NHWDS, compared with 19,759 reported at December 2012 in the AHPRA quarterly data tables.</w:t>
            </w:r>
          </w:p>
          <w:p>
            <w:pPr>
              <w:spacing w:after="160"/>
            </w:pPr>
            <w:r>
              <w:rPr>
                <w:rStyle w:val="row-content-rich-text"/>
                <w:i/>
              </w:rPr>
              <w:t xml:space="preserve">Allied health practitioners in 2011 and 2012</w:t>
            </w:r>
          </w:p>
          <w:p>
            <w:pPr>
              <w:spacing w:after="160"/>
            </w:pPr>
            <w:r>
              <w:rPr>
                <w:rStyle w:val="row-content-rich-text"/>
              </w:rPr>
              <w:t xml:space="preserve">The NHWDS number of registered allied health practitioners for 2011 and 2012 are similar to data reported in the 2010–11 AHPRA annual report. For 2011, there were 91,587 registered practitioners in the NHWDS, compared with 91,318 registrations at 30 June 2011 in the AHPRA annual report.</w:t>
            </w:r>
          </w:p>
          <w:p>
            <w:pPr/>
            <w:r>
              <w:rPr>
                <w:rStyle w:val="row-content-rich-text"/>
              </w:rPr>
              <w:t xml:space="preserve">For 2012, there were 126,788 registered allied health practitioners in the NHWDS, compared with 128,408 reported at December 2012 in the AHPRA quarterly data tables.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3725ec901a4a6c">
              <w:r>
                <w:rPr>
                  <w:rStyle w:val="Hyperlink"/>
                </w:rPr>
                <w:t xml:space="preserve">National Healthcare Agreement: PI 33-Full time equivalent employed health practitioners per 1,000 population (by age group), 2013 QS</w:t>
              </w:r>
            </w:hyperlink>
          </w:p>
          <w:p>
            <w:pPr>
              <w:pStyle w:val="registration-status"/>
              <w:spacing w:before="0" w:after="0"/>
            </w:pPr>
            <w:hyperlink w:history="true" r:id="R87a74b254cda4a1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ab40062fce34094">
              <w:r>
                <w:rPr>
                  <w:rStyle w:val="Hyperlink"/>
                </w:rPr>
                <w:t xml:space="preserve">National Healthcare Agreement: PI 33-Full time equivalent employed health practitioners per 1,000 population (by age group), 2015 QS</w:t>
              </w:r>
            </w:hyperlink>
          </w:p>
          <w:p>
            <w:pPr>
              <w:pStyle w:val="registration-status"/>
              <w:spacing w:before="0" w:after="0"/>
            </w:pPr>
            <w:hyperlink w:history="true" r:id="R43744577e4844ae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56d21ee9cb146f6">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8e05ec6f62e94a3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aebb3c8164d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1c67c7fbe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bb3c8164d4fbb" /><Relationship Type="http://schemas.openxmlformats.org/officeDocument/2006/relationships/header" Target="/word/header1.xml" Id="R465b2c6b2cb44e53" /><Relationship Type="http://schemas.openxmlformats.org/officeDocument/2006/relationships/settings" Target="/word/settings.xml" Id="R8ec786c8c2a14d7b" /><Relationship Type="http://schemas.openxmlformats.org/officeDocument/2006/relationships/styles" Target="/word/styles.xml" Id="R8cd717f8f94c407f" /><Relationship Type="http://schemas.openxmlformats.org/officeDocument/2006/relationships/numbering" Target="/word/numbering.xml" Id="R09fce33c4a7a4600" /><Relationship Type="http://schemas.openxmlformats.org/officeDocument/2006/relationships/hyperlink" Target="https://meteor-uat.aihw.gov.au/RegistrationAuthority/14" TargetMode="External" Id="R54ba227ed8424c2e" /><Relationship Type="http://schemas.openxmlformats.org/officeDocument/2006/relationships/hyperlink" Target="https://meteor-uat.aihw.gov.au/content/509857" TargetMode="External" Id="R9a3725ec901a4a6c" /><Relationship Type="http://schemas.openxmlformats.org/officeDocument/2006/relationships/hyperlink" Target="https://meteor-uat.aihw.gov.au/RegistrationAuthority/14" TargetMode="External" Id="R87a74b254cda4a11" /><Relationship Type="http://schemas.openxmlformats.org/officeDocument/2006/relationships/hyperlink" Target="https://meteor-uat.aihw.gov.au/content/559083" TargetMode="External" Id="R0ab40062fce34094" /><Relationship Type="http://schemas.openxmlformats.org/officeDocument/2006/relationships/hyperlink" Target="https://meteor-uat.aihw.gov.au/RegistrationAuthority/14" TargetMode="External" Id="R43744577e4844aed" /><Relationship Type="http://schemas.openxmlformats.org/officeDocument/2006/relationships/hyperlink" Target="https://meteor-uat.aihw.gov.au/content/517611" TargetMode="External" Id="Rf56d21ee9cb146f6" /><Relationship Type="http://schemas.openxmlformats.org/officeDocument/2006/relationships/hyperlink" Target="https://meteor-uat.aihw.gov.au/RegistrationAuthority/14" TargetMode="External" Id="R8e05ec6f62e94a3b" /></Relationships>
</file>

<file path=word/_rels/header1.xml.rels>&#65279;<?xml version="1.0" encoding="utf-8"?><Relationships xmlns="http://schemas.openxmlformats.org/package/2006/relationships"><Relationship Type="http://schemas.openxmlformats.org/officeDocument/2006/relationships/image" Target="/media/image.png" Id="Rae41c67c7fbe4e27" /></Relationships>
</file>