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1bdf2b589e4e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d2b1524ff4042">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9224f80f4f4afa">
              <w:r>
                <w:rPr>
                  <w:rStyle w:val="Hyperlink"/>
                </w:rPr>
                <w:t xml:space="preserve">National Healthcare Agreement (2014)</w:t>
              </w:r>
            </w:hyperlink>
          </w:p>
          <w:p>
            <w:pPr>
              <w:pStyle w:val="registration-status"/>
              <w:spacing w:before="0" w:after="0"/>
            </w:pPr>
            <w:hyperlink w:history="true" r:id="Ra400e85d94aa47d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c2969ef01e6418e">
              <w:r>
                <w:rPr>
                  <w:rStyle w:val="Hyperlink"/>
                </w:rPr>
                <w:t xml:space="preserve">National Healthcare Agreement: PI 25-Rate of community follow up within first seven days of discharge from a psychiatric admission, 2014 QS</w:t>
              </w:r>
            </w:hyperlink>
          </w:p>
          <w:p>
            <w:pPr>
              <w:pStyle w:val="registration-status"/>
              <w:spacing w:before="0" w:after="0"/>
            </w:pPr>
            <w:hyperlink w:history="true" r:id="Rd789c874fb5f41f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  </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b9148b23f85e42f9">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53a36db87d2d4c1d">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6b9d47cbc6514744">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r>
              <w:rPr>
                <w:rStyle w:val="row-content"/>
              </w:rPr>
              <w:t xml:space="preserve">Sourced directly from Department of Health.</w:t>
            </w:r>
          </w:p>
          <w:p>
            <w:r>
              <w:rPr>
                <w:rStyle w:val="row-content"/>
                <w:b/>
              </w:rPr>
              <w:t xml:space="preserve">Data Source</w:t>
            </w:r>
          </w:p>
          <w:p>
            <w:hyperlink w:history="true" r:id="R770f4fa87de24f40">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(percentage only), by 2011 Socio-Economic Indexes for Areas (SEIFA) Index of Relative Socio-economic Disadvantage (IRSD) deciles.</w:t>
            </w:r>
          </w:p>
          <w:p>
            <w:pPr>
              <w:spacing w:after="160"/>
            </w:pPr>
            <w:r>
              <w:rPr>
                <w:rStyle w:val="row-content-rich-text"/>
              </w:rPr>
              <w:t xml:space="preserve">2007-08, 2008-09, 2009-10, 2010-11 (revised), 2011–12—State and territory (numerator, denominator and percentage).</w:t>
            </w:r>
          </w:p>
          <w:p>
            <w:pPr>
              <w:spacing w:after="160"/>
            </w:pPr>
            <w:r>
              <w:rPr>
                <w:rStyle w:val="row-content-rich-text"/>
              </w:rPr>
              <w:t xml:space="preserve">2011–12—State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 of consumer.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 </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 </w:t>
            </w:r>
          </w:p>
          <w:p>
            <w:pPr>
              <w:spacing w:after="160"/>
            </w:pPr>
            <w:r>
              <w:rPr>
                <w:rStyle w:val="row-content-rich-text"/>
              </w:rPr>
              <w:t xml:space="preserve">Same 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2011–12 data, the 2011 SEIFA IRSD quintile and decile data will be produced using the Australian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69d26bb2e14481">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c34c099707b14ba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d128efaff64dd1">
              <w:r>
                <w:rPr>
                  <w:rStyle w:val="Hyperlink"/>
                </w:rPr>
                <w:t xml:space="preserve">National Healthcare Agreement: PI 25-Rate of community follow up within first seven days of discharge from a psychiatric admission, 2013</w:t>
              </w:r>
            </w:hyperlink>
          </w:p>
          <w:p>
            <w:pPr>
              <w:pStyle w:val="registration-status"/>
              <w:spacing w:before="0" w:after="0"/>
            </w:pPr>
            <w:hyperlink w:history="true" r:id="R24ca726b4c82409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4b40e71141143c7">
              <w:r>
                <w:rPr>
                  <w:rStyle w:val="Hyperlink"/>
                </w:rPr>
                <w:t xml:space="preserve">National Healthcare Agreement: PI 25-Rate of community follow up within first seven days of discharge from a psychiatric admission, 2015</w:t>
              </w:r>
            </w:hyperlink>
          </w:p>
          <w:p>
            <w:pPr>
              <w:pStyle w:val="registration-status"/>
              <w:spacing w:before="0" w:after="0"/>
            </w:pPr>
            <w:hyperlink w:history="true" r:id="R42df0adc9d4b404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99f4086dfd9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9075a02ee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f4086dfd94c69" /><Relationship Type="http://schemas.openxmlformats.org/officeDocument/2006/relationships/header" Target="/word/header1.xml" Id="R656fac3b32d74e61" /><Relationship Type="http://schemas.openxmlformats.org/officeDocument/2006/relationships/settings" Target="/word/settings.xml" Id="R83ad24b0ad9b437e" /><Relationship Type="http://schemas.openxmlformats.org/officeDocument/2006/relationships/styles" Target="/word/styles.xml" Id="Rb52f0dec1336471c" /><Relationship Type="http://schemas.openxmlformats.org/officeDocument/2006/relationships/numbering" Target="/word/numbering.xml" Id="Rbd8c8d25c93b495a" /><Relationship Type="http://schemas.openxmlformats.org/officeDocument/2006/relationships/hyperlink" Target="https://meteor-uat.aihw.gov.au/RegistrationAuthority/14" TargetMode="External" Id="Rb6bd2b1524ff4042" /><Relationship Type="http://schemas.openxmlformats.org/officeDocument/2006/relationships/hyperlink" Target="https://meteor-uat.aihw.gov.au/content/517609" TargetMode="External" Id="R1c9224f80f4f4afa" /><Relationship Type="http://schemas.openxmlformats.org/officeDocument/2006/relationships/hyperlink" Target="https://meteor-uat.aihw.gov.au/RegistrationAuthority/14" TargetMode="External" Id="Ra400e85d94aa47d1" /><Relationship Type="http://schemas.openxmlformats.org/officeDocument/2006/relationships/hyperlink" Target="https://meteor-uat.aihw.gov.au/content/517723" TargetMode="External" Id="Rdc2969ef01e6418e" /><Relationship Type="http://schemas.openxmlformats.org/officeDocument/2006/relationships/hyperlink" Target="https://meteor-uat.aihw.gov.au/RegistrationAuthority/14" TargetMode="External" Id="Rd789c874fb5f41f9" /><Relationship Type="http://schemas.openxmlformats.org/officeDocument/2006/relationships/hyperlink" Target="https://meteor-uat.aihw.gov.au/content/402135" TargetMode="External" Id="Rb9148b23f85e42f9" /><Relationship Type="http://schemas.openxmlformats.org/officeDocument/2006/relationships/hyperlink" Target="https://meteor-uat.aihw.gov.au/content/426458" TargetMode="External" Id="R53a36db87d2d4c1d" /><Relationship Type="http://schemas.openxmlformats.org/officeDocument/2006/relationships/hyperlink" Target="https://meteor-uat.aihw.gov.au/content/402135" TargetMode="External" Id="R6b9d47cbc6514744" /><Relationship Type="http://schemas.openxmlformats.org/officeDocument/2006/relationships/hyperlink" Target="https://meteor-uat.aihw.gov.au/content/426458" TargetMode="External" Id="R770f4fa87de24f40" /><Relationship Type="http://schemas.openxmlformats.org/officeDocument/2006/relationships/hyperlink" Target="https://meteor-uat.aihw.gov.au/content/402135" TargetMode="External" Id="Rc269d26bb2e14481" /><Relationship Type="http://schemas.openxmlformats.org/officeDocument/2006/relationships/hyperlink" Target="https://meteor-uat.aihw.gov.au/content/426458" TargetMode="External" Id="Rc34c099707b14ba5" /><Relationship Type="http://schemas.openxmlformats.org/officeDocument/2006/relationships/hyperlink" Target="https://meteor-uat.aihw.gov.au/content/497030" TargetMode="External" Id="Recd128efaff64dd1" /><Relationship Type="http://schemas.openxmlformats.org/officeDocument/2006/relationships/hyperlink" Target="https://meteor-uat.aihw.gov.au/RegistrationAuthority/14" TargetMode="External" Id="R24ca726b4c824099" /><Relationship Type="http://schemas.openxmlformats.org/officeDocument/2006/relationships/hyperlink" Target="https://meteor-uat.aihw.gov.au/content/559016" TargetMode="External" Id="R04b40e71141143c7" /><Relationship Type="http://schemas.openxmlformats.org/officeDocument/2006/relationships/hyperlink" Target="https://meteor-uat.aihw.gov.au/RegistrationAuthority/14" TargetMode="External" Id="R42df0adc9d4b404c" /></Relationships>
</file>

<file path=word/_rels/header1.xml.rels>&#65279;<?xml version="1.0" encoding="utf-8"?><Relationships xmlns="http://schemas.openxmlformats.org/package/2006/relationships"><Relationship Type="http://schemas.openxmlformats.org/officeDocument/2006/relationships/image" Target="/media/image.png" Id="Rf639075a02ee4733" /></Relationships>
</file>