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4f2350b2e4f3f"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housing assistance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housing assistance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Sources of income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9d0f38218c488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a housing assistance client derives any part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an indicator of the needs and circumstances of individuals and may be used in assessment of income equity.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b228a124814ce5">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af52679eb745b1">
              <w:r>
                <w:rPr>
                  <w:rStyle w:val="Hyperlink"/>
                </w:rPr>
                <w:t xml:space="preserve">Source of cash income housing assistance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Family Tax Benefit (Parts A and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3.3.2.1</w:t>
            </w:r>
          </w:p>
        </w:tc>
        <w:tc>
          <w:tcPr>
            <w:tcBorders>
              <w:top w:val="none" w:color="000000" w:sz="0"/>
              <w:left w:val="none" w:color="000000" w:sz="0"/>
              <w:bottom w:val="none" w:color="000000" w:sz="0"/>
              <w:right w:val="none" w:color="000000" w:sz="0"/>
            </w:tcBorders>
            <w:vAlign w:val="top"/>
          </w:tcPr>
          <w:p>
            <w:r>
              <w:t xml:space="preserve">Parenting Payment -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3.3.2.2</w:t>
            </w:r>
          </w:p>
        </w:tc>
        <w:tc>
          <w:tcPr>
            <w:tcBorders>
              <w:top w:val="none" w:color="000000" w:sz="0"/>
              <w:left w:val="none" w:color="000000" w:sz="0"/>
              <w:bottom w:val="none" w:color="000000" w:sz="0"/>
              <w:right w:val="none" w:color="000000" w:sz="0"/>
            </w:tcBorders>
            <w:vAlign w:val="top"/>
          </w:tcPr>
          <w:p>
            <w:r>
              <w:t xml:space="preserve">Parenting Payment -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3.3.3</w:t>
            </w:r>
          </w:p>
        </w:tc>
        <w:tc>
          <w:tcPr>
            <w:tcBorders>
              <w:top w:val="none" w:color="000000" w:sz="0"/>
              <w:left w:val="none" w:color="000000" w:sz="0"/>
              <w:bottom w:val="none" w:color="000000" w:sz="0"/>
              <w:right w:val="none" w:color="000000" w:sz="0"/>
            </w:tcBorders>
            <w:vAlign w:val="top"/>
          </w:tcPr>
          <w:p>
            <w:r>
              <w:t xml:space="preserve">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3.3.4</w:t>
            </w:r>
          </w:p>
        </w:tc>
        <w:tc>
          <w:tcPr>
            <w:tcBorders>
              <w:top w:val="none" w:color="000000" w:sz="0"/>
              <w:left w:val="none" w:color="000000" w:sz="0"/>
              <w:bottom w:val="none" w:color="000000" w:sz="0"/>
              <w:right w:val="none" w:color="000000" w:sz="0"/>
            </w:tcBorders>
            <w:vAlign w:val="top"/>
          </w:tcPr>
          <w:p>
            <w:r>
              <w:t xml:space="preserve">Wife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3.3.5</w:t>
            </w:r>
          </w:p>
        </w:tc>
        <w:tc>
          <w:tcPr>
            <w:tcBorders>
              <w:top w:val="none" w:color="000000" w:sz="0"/>
              <w:left w:val="none" w:color="000000" w:sz="0"/>
              <w:bottom w:val="none" w:color="000000" w:sz="0"/>
              <w:right w:val="none" w:color="000000" w:sz="0"/>
            </w:tcBorders>
            <w:vAlign w:val="top"/>
          </w:tcPr>
          <w:p>
            <w:r>
              <w:t xml:space="preserve">Widow B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3.3.6</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3.3.9</w:t>
            </w:r>
          </w:p>
        </w:tc>
        <w:tc>
          <w:tcPr>
            <w:tcBorders>
              <w:top w:val="none" w:color="000000" w:sz="0"/>
              <w:left w:val="none" w:color="000000" w:sz="0"/>
              <w:bottom w:val="none" w:color="000000" w:sz="0"/>
              <w:right w:val="none" w:color="000000" w:sz="0"/>
            </w:tcBorders>
            <w:vAlign w:val="top"/>
          </w:tcPr>
          <w:p>
            <w:r>
              <w:t xml:space="preserve">Carer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3.3.10</w:t>
            </w:r>
          </w:p>
        </w:tc>
        <w:tc>
          <w:tcPr>
            <w:tcBorders>
              <w:top w:val="none" w:color="000000" w:sz="0"/>
              <w:left w:val="none" w:color="000000" w:sz="0"/>
              <w:bottom w:val="none" w:color="000000" w:sz="0"/>
              <w:right w:val="none" w:color="000000" w:sz="0"/>
            </w:tcBorders>
            <w:vAlign w:val="top"/>
          </w:tcPr>
          <w:p>
            <w:r>
              <w:t xml:space="preserve">Carer Supplement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3.3.11</w:t>
            </w:r>
          </w:p>
        </w:tc>
        <w:tc>
          <w:tcPr>
            <w:tcBorders>
              <w:top w:val="none" w:color="000000" w:sz="0"/>
              <w:left w:val="none" w:color="000000" w:sz="0"/>
              <w:bottom w:val="none" w:color="000000" w:sz="0"/>
              <w:right w:val="none" w:color="000000" w:sz="0"/>
            </w:tcBorders>
            <w:vAlign w:val="top"/>
          </w:tcPr>
          <w:p>
            <w:r>
              <w:t xml:space="preserve">Partner Allowance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3.3.12</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3.3.13</w:t>
            </w:r>
          </w:p>
        </w:tc>
        <w:tc>
          <w:tcPr>
            <w:tcBorders>
              <w:top w:val="none" w:color="000000" w:sz="0"/>
              <w:left w:val="none" w:color="000000" w:sz="0"/>
              <w:bottom w:val="none" w:color="000000" w:sz="0"/>
              <w:right w:val="none" w:color="000000" w:sz="0"/>
            </w:tcBorders>
            <w:vAlign w:val="top"/>
          </w:tcPr>
          <w:p>
            <w:r>
              <w:t xml:space="preserve">CDEP Participant Supplement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3.3.14</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3.3.15</w:t>
            </w:r>
          </w:p>
        </w:tc>
        <w:tc>
          <w:tcPr>
            <w:tcBorders>
              <w:top w:val="none" w:color="000000" w:sz="0"/>
              <w:left w:val="none" w:color="000000" w:sz="0"/>
              <w:bottom w:val="none" w:color="000000" w:sz="0"/>
              <w:right w:val="none" w:color="000000" w:sz="0"/>
            </w:tcBorders>
            <w:vAlign w:val="top"/>
          </w:tcPr>
          <w:p>
            <w:r>
              <w:t xml:space="preserve">Service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3.3.16</w:t>
            </w:r>
          </w:p>
        </w:tc>
        <w:tc>
          <w:tcPr>
            <w:tcBorders>
              <w:top w:val="none" w:color="000000" w:sz="0"/>
              <w:left w:val="none" w:color="000000" w:sz="0"/>
              <w:bottom w:val="none" w:color="000000" w:sz="0"/>
              <w:right w:val="none" w:color="000000" w:sz="0"/>
            </w:tcBorders>
            <w:vAlign w:val="top"/>
          </w:tcPr>
          <w:p>
            <w:r>
              <w:t xml:space="preserve">Disability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3.3.17</w:t>
            </w:r>
          </w:p>
        </w:tc>
        <w:tc>
          <w:tcPr>
            <w:tcBorders>
              <w:top w:val="none" w:color="000000" w:sz="0"/>
              <w:left w:val="none" w:color="000000" w:sz="0"/>
              <w:bottom w:val="none" w:color="000000" w:sz="0"/>
              <w:right w:val="none" w:color="000000" w:sz="0"/>
            </w:tcBorders>
            <w:vAlign w:val="top"/>
          </w:tcPr>
          <w:p>
            <w:r>
              <w:t xml:space="preserve">War widow's pension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3.3.18</w:t>
            </w:r>
          </w:p>
        </w:tc>
        <w:tc>
          <w:tcPr>
            <w:tcBorders>
              <w:top w:val="none" w:color="000000" w:sz="0"/>
              <w:left w:val="none" w:color="000000" w:sz="0"/>
              <w:bottom w:val="none" w:color="000000" w:sz="0"/>
              <w:right w:val="none" w:color="000000" w:sz="0"/>
            </w:tcBorders>
            <w:vAlign w:val="top"/>
          </w:tcPr>
          <w:p>
            <w:r>
              <w:t xml:space="preserve">Pensions and allowances from overseas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does not follow the standard ABS classification codeset, and is not recommended for wider use.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0f100c61fe0e402e">
              <w:r>
                <w:rPr>
                  <w:rStyle w:val="Hyperlink"/>
                </w:rPr>
                <w:t xml:space="preserve">Standards for Social, Labour and Demographic Variables</w:t>
              </w:r>
            </w:hyperlink>
            <w:r>
              <w:rPr>
                <w:rStyle w:val="row-content-rich-text"/>
              </w:rPr>
              <w:t xml:space="preserve">. Viewed June 1,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sources of cash income are included in this concept.</w:t>
            </w:r>
          </w:p>
          <w:p>
            <w:pPr>
              <w:spacing w:after="160"/>
            </w:pPr>
            <w:r>
              <w:rPr>
                <w:rStyle w:val="row-content-rich-text"/>
              </w:rPr>
              <w:t xml:space="preserve">Cash income may be received from employment (Employee cash income), as a profit or loss from an unincorporated enterprise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9cde1a2a5067474b">
              <w:r>
                <w:rPr>
                  <w:rStyle w:val="Hyperlink"/>
                  <w:b/>
                </w:rPr>
                <w:t xml:space="preserve">Unincorporated business</w:t>
              </w:r>
            </w:hyperlink>
            <w:r>
              <w:rPr>
                <w:rStyle w:val="row-content-rich-text"/>
              </w:rPr>
              <w:t xml:space="preserve"> cash income), from the ownership of assets (Property cash income). Income may also be derived from current transfers from government (pensions and benefits) or from private sources, such as superannuation funds. An individual may receive cash income from more than one source.</w:t>
            </w:r>
          </w:p>
          <w:p>
            <w:pPr>
              <w:spacing w:after="160"/>
            </w:pPr>
            <w:r>
              <w:rPr>
                <w:rStyle w:val="row-content-rich-text"/>
              </w:rPr>
              <w:t xml:space="preserve">Excluded from this concept is income in kind e.g. barter for goods or services.</w:t>
            </w:r>
          </w:p>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person has multiple sources of income, all sources should be counted.</w:t>
            </w:r>
          </w:p>
          <w:p>
            <w:pPr/>
            <w:r>
              <w:rPr>
                <w:rStyle w:val="row-content-rich-text"/>
              </w:rPr>
              <w:t xml:space="preserve">This question is not asked of persons aged less than 15 years because they are generally dependants.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47894d009642de">
              <w:r>
                <w:rPr>
                  <w:rStyle w:val="Hyperlink"/>
                </w:rPr>
                <w:t xml:space="preserve">Person—main source of income</w:t>
              </w:r>
            </w:hyperlink>
          </w:p>
          <w:p>
            <w:pPr>
              <w:pStyle w:val="registration-status"/>
              <w:spacing w:before="0" w:after="0"/>
            </w:pPr>
            <w:hyperlink w:history="true" r:id="R867db5f9c4e2492f">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ab25d6f7bb264045">
              <w:r>
                <w:rPr>
                  <w:rStyle w:val="Hyperlink"/>
                </w:rPr>
                <w:t xml:space="preserve">Person—principal source of cash income, code N[.N.N.N]</w:t>
              </w:r>
            </w:hyperlink>
          </w:p>
          <w:p>
            <w:pPr>
              <w:pStyle w:val="registration-status"/>
              <w:spacing w:before="0" w:after="0"/>
            </w:pPr>
            <w:hyperlink w:history="true" r:id="R003e685c7f8a4e8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2bd212b26414b40">
              <w:r>
                <w:rPr>
                  <w:rStyle w:val="Hyperlink"/>
                </w:rPr>
                <w:t xml:space="preserve">Person—principal source of cash income, code N[.N.N.N]</w:t>
              </w:r>
            </w:hyperlink>
          </w:p>
          <w:p>
            <w:pPr>
              <w:pStyle w:val="registration-status"/>
              <w:spacing w:before="0" w:after="0"/>
            </w:pPr>
            <w:hyperlink w:history="true" r:id="R454759c2382b4be7">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97210363fdc4490">
              <w:r>
                <w:rPr>
                  <w:rStyle w:val="Hyperlink"/>
                </w:rPr>
                <w:t xml:space="preserve">Person—source of cash income (principal)</w:t>
              </w:r>
            </w:hyperlink>
          </w:p>
          <w:p>
            <w:pPr>
              <w:pStyle w:val="registration-status"/>
              <w:spacing w:before="0" w:after="0"/>
            </w:pPr>
            <w:hyperlink w:history="true" r:id="R1737777711bc4abe">
              <w:r>
                <w:rPr>
                  <w:rStyle w:val="Hyperlink"/>
                  <w:color w:val="244061"/>
                </w:rPr>
                <w:t xml:space="preserve">Community Services (retired)</w:t>
              </w:r>
            </w:hyperlink>
            <w:r>
              <w:rPr>
                <w:rStyle w:val="row-content"/>
                <w:color w:val="244061"/>
              </w:rPr>
              <w:t xml:space="preserve">, Standard 29/04/2006</w:t>
            </w:r>
          </w:p>
          <w:p>
            <w:pPr>
              <w:pStyle w:val="registration-status"/>
              <w:spacing w:before="0" w:after="0"/>
            </w:pPr>
            <w:hyperlink w:history="true" r:id="R10c3563d5bf44e58">
              <w:r>
                <w:rPr>
                  <w:rStyle w:val="Hyperlink"/>
                  <w:color w:val="244061"/>
                </w:rPr>
                <w:t xml:space="preserve">Disability</w:t>
              </w:r>
            </w:hyperlink>
            <w:r>
              <w:rPr>
                <w:rStyle w:val="row-content"/>
                <w:color w:val="244061"/>
              </w:rPr>
              <w:t xml:space="preserve">, Superseded 28/09/2016</w:t>
            </w:r>
          </w:p>
          <w:p>
            <w:pPr>
              <w:pStyle w:val="registration-status"/>
              <w:spacing w:before="0" w:after="0"/>
            </w:pPr>
            <w:hyperlink w:history="true" r:id="Rd7ec39f95e81465e">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d9ce662448064c9c">
              <w:r>
                <w:rPr>
                  <w:rStyle w:val="Hyperlink"/>
                </w:rPr>
                <w:t xml:space="preserve">Person—source of cash income (principal), code N</w:t>
              </w:r>
            </w:hyperlink>
          </w:p>
          <w:p>
            <w:pPr>
              <w:pStyle w:val="registration-status"/>
              <w:spacing w:before="0" w:after="0"/>
            </w:pPr>
            <w:hyperlink w:history="true" r:id="Rc3d9e1e87cbb48f4">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fb34a2048843fa">
              <w:r>
                <w:rPr>
                  <w:rStyle w:val="Hyperlink"/>
                </w:rPr>
                <w:t xml:space="preserve">Person income (housing assistance) cluster</w:t>
              </w:r>
            </w:hyperlink>
          </w:p>
          <w:p>
            <w:pPr>
              <w:pStyle w:val="registration-status"/>
              <w:spacing w:before="0" w:after="0"/>
            </w:pPr>
            <w:hyperlink w:history="true" r:id="Rb7db1ed0fb994431">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6a9d9054a4d9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513378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3e1147b89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9d9054a4d94e95" /><Relationship Type="http://schemas.openxmlformats.org/officeDocument/2006/relationships/header" Target="/word/header1.xml" Id="R6343222eef674a25" /><Relationship Type="http://schemas.openxmlformats.org/officeDocument/2006/relationships/settings" Target="/word/settings.xml" Id="R1dc59c9947aa441f" /><Relationship Type="http://schemas.openxmlformats.org/officeDocument/2006/relationships/styles" Target="/word/styles.xml" Id="R594084296e2a4bcd" /><Relationship Type="http://schemas.openxmlformats.org/officeDocument/2006/relationships/hyperlink" Target="https://meteor-uat.aihw.gov.au/RegistrationAuthority/13" TargetMode="External" Id="Rf39d0f38218c488d" /><Relationship Type="http://schemas.openxmlformats.org/officeDocument/2006/relationships/hyperlink" Target="https://meteor-uat.aihw.gov.au/content/321151" TargetMode="External" Id="R88b228a124814ce5" /><Relationship Type="http://schemas.openxmlformats.org/officeDocument/2006/relationships/hyperlink" Target="https://meteor-uat.aihw.gov.au/content/478943" TargetMode="External" Id="Rfbaf52679eb745b1" /><Relationship Type="http://schemas.openxmlformats.org/officeDocument/2006/relationships/hyperlink" Target="http://www.abs.gov.au/Ausstats/abs@.nsf/66f306f503e529a5ca25697e0017661f/5a4f5993d89c3a32ca256e620074d6c8!OpenDocument" TargetMode="External" Id="R0f100c61fe0e402e" /><Relationship Type="http://schemas.openxmlformats.org/officeDocument/2006/relationships/hyperlink" Target="https://meteor-uat.aihw.gov.au/content/327462" TargetMode="External" Id="R9cde1a2a5067474b" /><Relationship Type="http://schemas.openxmlformats.org/officeDocument/2006/relationships/hyperlink" Target="https://meteor-uat.aihw.gov.au/content/639635" TargetMode="External" Id="R8547894d009642de" /><Relationship Type="http://schemas.openxmlformats.org/officeDocument/2006/relationships/hyperlink" Target="https://meteor-uat.aihw.gov.au/RegistrationAuthority/18" TargetMode="External" Id="R867db5f9c4e2492f" /><Relationship Type="http://schemas.openxmlformats.org/officeDocument/2006/relationships/hyperlink" Target="https://meteor-uat.aihw.gov.au/content/608085" TargetMode="External" Id="Rab25d6f7bb264045" /><Relationship Type="http://schemas.openxmlformats.org/officeDocument/2006/relationships/hyperlink" Target="https://meteor-uat.aihw.gov.au/RegistrationAuthority/13" TargetMode="External" Id="R003e685c7f8a4e85" /><Relationship Type="http://schemas.openxmlformats.org/officeDocument/2006/relationships/hyperlink" Target="https://meteor-uat.aihw.gov.au/content/479197" TargetMode="External" Id="Rd2bd212b26414b40" /><Relationship Type="http://schemas.openxmlformats.org/officeDocument/2006/relationships/hyperlink" Target="https://meteor-uat.aihw.gov.au/RegistrationAuthority/13" TargetMode="External" Id="R454759c2382b4be7" /><Relationship Type="http://schemas.openxmlformats.org/officeDocument/2006/relationships/hyperlink" Target="https://meteor-uat.aihw.gov.au/content/321061" TargetMode="External" Id="Rc97210363fdc4490" /><Relationship Type="http://schemas.openxmlformats.org/officeDocument/2006/relationships/hyperlink" Target="https://meteor-uat.aihw.gov.au/RegistrationAuthority/3" TargetMode="External" Id="R1737777711bc4abe" /><Relationship Type="http://schemas.openxmlformats.org/officeDocument/2006/relationships/hyperlink" Target="https://meteor-uat.aihw.gov.au/RegistrationAuthority/18" TargetMode="External" Id="R10c3563d5bf44e58" /><Relationship Type="http://schemas.openxmlformats.org/officeDocument/2006/relationships/hyperlink" Target="https://meteor-uat.aihw.gov.au/RegistrationAuthority/13" TargetMode="External" Id="Rd7ec39f95e81465e" /><Relationship Type="http://schemas.openxmlformats.org/officeDocument/2006/relationships/hyperlink" Target="https://meteor-uat.aihw.gov.au/content/321063" TargetMode="External" Id="Rd9ce662448064c9c" /><Relationship Type="http://schemas.openxmlformats.org/officeDocument/2006/relationships/hyperlink" Target="https://meteor-uat.aihw.gov.au/RegistrationAuthority/3" TargetMode="External" Id="Rc3d9e1e87cbb48f4" /><Relationship Type="http://schemas.openxmlformats.org/officeDocument/2006/relationships/hyperlink" Target="https://meteor-uat.aihw.gov.au/content/478940" TargetMode="External" Id="Rf2fb34a2048843fa" /><Relationship Type="http://schemas.openxmlformats.org/officeDocument/2006/relationships/hyperlink" Target="https://meteor-uat.aihw.gov.au/RegistrationAuthority/13" TargetMode="External" Id="Rb7db1ed0fb994431" /></Relationships>
</file>

<file path=word/_rels/header1.xml.rels>&#65279;<?xml version="1.0" encoding="utf-8"?><Relationships xmlns="http://schemas.openxmlformats.org/package/2006/relationships"><Relationship Type="http://schemas.openxmlformats.org/officeDocument/2006/relationships/image" Target="/media/image.png" Id="Rf013e1147b894ba6" /></Relationships>
</file>