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41772a54a84547" /></Relationships>
</file>

<file path=word/document.xml><?xml version="1.0" encoding="utf-8"?>
<w:document xmlns:r="http://schemas.openxmlformats.org/officeDocument/2006/relationships" xmlns:w="http://schemas.openxmlformats.org/wordprocessingml/2006/main">
  <w:body>
    <w:p>
      <w:pPr>
        <w:pStyle w:val="Title"/>
      </w:pPr>
      <w:r>
        <w:t>Order—offence type, offence code (ANZSOC 2011)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Order—offence type, offence code (ANZSOC 2011)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Offence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Australian and New Zealand Standard Offence Classification (ANZSOC)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1b1b2e3a594ba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offence for which a person is convicted and placed under a legal order or arrangement,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f52b2dc5b6e4905">
              <w:r>
                <w:rPr>
                  <w:rStyle w:val="Hyperlink"/>
                </w:rPr>
                <w:t xml:space="preserve">Order—offence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226472cf21f46ad">
              <w:r>
                <w:rPr>
                  <w:rStyle w:val="Hyperlink"/>
                </w:rPr>
                <w:t xml:space="preserve">Offence code (ANZSOC 2011)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5145cd4061d43b8">
              <w:r>
                <w:rPr>
                  <w:rStyle w:val="Hyperlink"/>
                </w:rPr>
                <w:t xml:space="preserve">Australian and New Zealand Standard Offence Classification (ANZSOC), Third edition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Bureau of Statistics’ Australian and New Zealand Standard Offence Classification (ANZSOC) provides a systematic ordering of criminal offences.</w:t>
            </w:r>
          </w:p>
          <w:p>
            <w:pPr>
              <w:spacing w:after="160"/>
            </w:pPr>
            <w:r>
              <w:rPr>
                <w:rStyle w:val="row-content-rich-text"/>
              </w:rPr>
              <w:t xml:space="preserve">The ANZSOC contains three levels: divisions (2-digit codes), subdivisions (3-digit codes) and groups (4-digit codes). The group level provides the most information. Where possible, the offence type should be recorded using the 4-digit group code.</w:t>
            </w:r>
          </w:p>
          <w:p>
            <w:pPr/>
            <w:r>
              <w:rPr>
                <w:rStyle w:val="row-content-rich-text"/>
              </w:rPr>
              <w:t xml:space="preserve">All offences for which a young person is serving a supervised sentence should be recorded, not just the most serious offence.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code must be a valid ANZSOC code.</w:t>
            </w:r>
          </w:p>
          <w:p>
            <w:pPr/>
            <w:r>
              <w:rPr>
                <w:rStyle w:val="row-content-rich-text"/>
              </w:rPr>
              <w:t xml:space="preserve">No null values.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88475224cc54519">
              <w:r>
                <w:rPr>
                  <w:rStyle w:val="Hyperlink"/>
                </w:rPr>
                <w:t xml:space="preserve">Youth Justice Offence file cluster</w:t>
              </w:r>
            </w:hyperlink>
          </w:p>
          <w:p>
            <w:pPr>
              <w:pStyle w:val="registration-status"/>
              <w:spacing w:before="0" w:after="0"/>
            </w:pPr>
            <w:hyperlink w:history="true" r:id="R82a45d6424104edb">
              <w:r>
                <w:rPr>
                  <w:rStyle w:val="Hyperlink"/>
                  <w:color w:val="244061"/>
                </w:rPr>
                <w:t xml:space="preserve">Youth Justice</w:t>
              </w:r>
            </w:hyperlink>
            <w:r>
              <w:rPr>
                <w:rStyle w:val="row-content"/>
                <w:color w:val="244061"/>
              </w:rPr>
              <w:t xml:space="preserve">, Standard 15/02/2022</w:t>
            </w:r>
          </w:p>
          <w:p>
            <w:r>
              <w:rPr>
                <w:rStyle w:val="row-content"/>
                <w:b/>
                <w:i/>
              </w:rPr>
              <w:t xml:space="preserve">DSS specific information: </w:t>
            </w:r>
          </w:p>
          <w:p>
            <w:r>
              <w:rPr>
                <w:rStyle w:val="row-content"/>
              </w:rPr>
              <w:t xml:space="preserve">The offence identifier allows for a single offence to be mapped to multiple orders.</w:t>
            </w:r>
          </w:p>
          <w:p>
            <w:r>
              <w:rPr>
                <w:rStyle w:val="row-content"/>
              </w:rPr>
              <w:t xml:space="preserve">For example, a young person is serving a sentence in detention for offence type 1350. They are released on parole/supervised release in relation to this offence.</w:t>
            </w:r>
          </w:p>
          <w:p>
            <w:r>
              <w:rPr>
                <w:rStyle w:val="row-content"/>
              </w:rPr>
              <w:t xml:space="preserve">The first record shows the young person was supervised under order ID 12 (the sentenced detention) in relation to offence type 1350. In the second record, the offence is the same as in the first record because a) the offence types are the same and b) the offence ID is the same. A second record is required because the order ID is different (the parole order).</w:t>
            </w:r>
          </w:p>
          <w:p>
            <w:r>
              <w:rPr>
                <w:rStyle w:val="row-content"/>
              </w:rPr>
              <w:t xml:space="preserve"> </w:t>
            </w:r>
          </w:p>
          <w:tbl>
            <w:tblPr>
              <w:tblStyle w:val="TableGrid"/>
              <w:tblW w:w="5000" w:type="pct"/>
              <w:tblLayout w:type="autofit"/>
            </w:tblPr>
            <w:tblGrid>
              <w:gridCol/>
              <w:gridCol/>
              <w:gridCol/>
              <w:gridCol/>
            </w:tblGrid>
            <w:tr>
              <w:trPr/>
              <w:tc>
                <w:tcPr>
                  <w:tcW w:w="1050" w:type="pct"/>
                  <w:vAlign w:val="top"/>
                </w:tcPr>
                <w:p>
                  <w:r>
                    <w:rPr>
                      <w:rStyle w:val="row-content"/>
                    </w:rPr>
                    <w:t xml:space="preserve"> </w:t>
                  </w:r>
                  <w:r>
                    <w:rPr>
                      <w:rStyle w:val="row-content"/>
                    </w:rPr>
                    <w:t xml:space="preserve">Person ID</w:t>
                  </w:r>
                </w:p>
              </w:tc>
              <w:tc>
                <w:tcPr>
                  <w:tcW w:w="1050" w:type="pct"/>
                  <w:vAlign w:val="top"/>
                </w:tcPr>
                <w:p>
                  <w:r>
                    <w:t xml:space="preserve">Offence ID</w:t>
                  </w:r>
                </w:p>
              </w:tc>
              <w:tc>
                <w:tcPr>
                  <w:tcW w:w="1750" w:type="pct"/>
                  <w:vAlign w:val="top"/>
                </w:tcPr>
                <w:p>
                  <w:r>
                    <w:t xml:space="preserve">Offence type</w:t>
                  </w:r>
                </w:p>
              </w:tc>
              <w:tc>
                <w:tcPr>
                  <w:tcW w:w="1050" w:type="pct"/>
                  <w:vAlign w:val="top"/>
                </w:tcPr>
                <w:p>
                  <w:r>
                    <w:t xml:space="preserve">Order ID</w:t>
                  </w:r>
                </w:p>
              </w:tc>
            </w:tr>
            <w:tr>
              <w:trPr/>
              <w:tc>
                <w:tcPr>
                  <w:tcW w:w="1050" w:type="pct"/>
                  <w:vAlign w:val="top"/>
                </w:tcPr>
                <w:p>
                  <w:r>
                    <w:t xml:space="preserve">6</w:t>
                  </w:r>
                </w:p>
              </w:tc>
              <w:tc>
                <w:tcPr>
                  <w:tcW w:w="1050" w:type="pct"/>
                  <w:vAlign w:val="top"/>
                </w:tcPr>
                <w:p>
                  <w:r>
                    <w:t xml:space="preserve">1</w:t>
                  </w:r>
                </w:p>
              </w:tc>
              <w:tc>
                <w:tcPr>
                  <w:tcW w:w="1750" w:type="pct"/>
                  <w:vAlign w:val="top"/>
                </w:tcPr>
                <w:p>
                  <w:r>
                    <w:t xml:space="preserve">1350</w:t>
                  </w:r>
                </w:p>
              </w:tc>
              <w:tc>
                <w:tcPr>
                  <w:tcW w:w="1050" w:type="pct"/>
                  <w:vAlign w:val="top"/>
                </w:tcPr>
                <w:p>
                  <w:r>
                    <w:t xml:space="preserve">12</w:t>
                  </w:r>
                </w:p>
              </w:tc>
            </w:tr>
            <w:tr>
              <w:trPr/>
              <w:tc>
                <w:tcPr>
                  <w:tcW w:w="1050" w:type="pct"/>
                  <w:vAlign w:val="top"/>
                </w:tcPr>
                <w:p>
                  <w:r>
                    <w:t xml:space="preserve">6</w:t>
                  </w:r>
                </w:p>
              </w:tc>
              <w:tc>
                <w:tcPr>
                  <w:tcW w:w="1050" w:type="pct"/>
                  <w:vAlign w:val="top"/>
                </w:tcPr>
                <w:p>
                  <w:r>
                    <w:t xml:space="preserve">1</w:t>
                  </w:r>
                </w:p>
              </w:tc>
              <w:tc>
                <w:tcPr>
                  <w:tcW w:w="1750" w:type="pct"/>
                  <w:vAlign w:val="top"/>
                </w:tcPr>
                <w:p>
                  <w:r>
                    <w:t xml:space="preserve">1350</w:t>
                  </w:r>
                </w:p>
              </w:tc>
              <w:tc>
                <w:tcPr>
                  <w:tcW w:w="1050" w:type="pct"/>
                  <w:vAlign w:val="top"/>
                </w:tcPr>
                <w:p>
                  <w:r>
                    <w:t xml:space="preserve">13</w:t>
                  </w:r>
                </w:p>
              </w:tc>
            </w:tr>
          </w:tbl>
          <w:p>
            <w:r>
              <w:t xml:space="preserve">If the offence identifier matches the offence identifier of another record for the same person identifier, the offence types must be the same.</w:t>
            </w:r>
          </w:p>
          <w:p>
            <w:r>
              <w:t xml:space="preserve">No null values.</w:t>
            </w:r>
          </w:p>
          <w:p>
            <w:r>
              <w:br/>
            </w:r>
            <w:r>
              <w:br/>
            </w:r>
          </w:p>
        </w:tc>
      </w:tr>
    </w:tbl>
    <w:p/>
    <w:tbl>
      <w:tblPr>
        <w:tblStyle w:val="TableGrid"/>
        <w:tblW w:w="0" w:type="auto"/>
      </w:tblPr>
    </w:tbl>
    <w:p>
      <w:r>
        <w:br/>
      </w:r>
    </w:p>
    <w:sectPr>
      <w:footerReference xmlns:r="http://schemas.openxmlformats.org/officeDocument/2006/relationships" w:type="default" r:id="R7ca5c987b9bc48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512619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c4e7d7b54649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a5c987b9bc48a2" /><Relationship Type="http://schemas.openxmlformats.org/officeDocument/2006/relationships/header" Target="/word/header1.xml" Id="R791c411b1699410c" /><Relationship Type="http://schemas.openxmlformats.org/officeDocument/2006/relationships/settings" Target="/word/settings.xml" Id="R9f712bf643a34735" /><Relationship Type="http://schemas.openxmlformats.org/officeDocument/2006/relationships/styles" Target="/word/styles.xml" Id="Rec15596e90a34fd7" /><Relationship Type="http://schemas.openxmlformats.org/officeDocument/2006/relationships/hyperlink" Target="https://meteor-uat.aihw.gov.au/RegistrationAuthority/4" TargetMode="External" Id="R3b1b1b2e3a594bab" /><Relationship Type="http://schemas.openxmlformats.org/officeDocument/2006/relationships/hyperlink" Target="https://meteor-uat.aihw.gov.au/content/512536" TargetMode="External" Id="R5f52b2dc5b6e4905" /><Relationship Type="http://schemas.openxmlformats.org/officeDocument/2006/relationships/hyperlink" Target="https://meteor-uat.aihw.gov.au/content/512460" TargetMode="External" Id="Re226472cf21f46ad" /><Relationship Type="http://schemas.openxmlformats.org/officeDocument/2006/relationships/hyperlink" Target="https://meteor-uat.aihw.gov.au/content/512458" TargetMode="External" Id="R55145cd4061d43b8" /><Relationship Type="http://schemas.openxmlformats.org/officeDocument/2006/relationships/hyperlink" Target="https://meteor-uat.aihw.gov.au/content/743794" TargetMode="External" Id="Rc88475224cc54519" /><Relationship Type="http://schemas.openxmlformats.org/officeDocument/2006/relationships/hyperlink" Target="https://meteor-uat.aihw.gov.au/RegistrationAuthority/4" TargetMode="External" Id="R82a45d6424104edb" /></Relationships>
</file>

<file path=word/_rels/header1.xml.rels>&#65279;<?xml version="1.0" encoding="utf-8"?><Relationships xmlns="http://schemas.openxmlformats.org/package/2006/relationships"><Relationship Type="http://schemas.openxmlformats.org/officeDocument/2006/relationships/image" Target="/media/image.png" Id="R4dc4e7d7b54649d4" /></Relationships>
</file>