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3815c73cd24b6e" /></Relationships>
</file>

<file path=word/document.xml><?xml version="1.0" encoding="utf-8"?>
<w:document xmlns:r="http://schemas.openxmlformats.org/officeDocument/2006/relationships" xmlns:w="http://schemas.openxmlformats.org/wordprocessingml/2006/main">
  <w:body>
    <w:p>
      <w:pPr>
        <w:pStyle w:val="Title"/>
      </w:pPr>
      <w:r>
        <w:t>Order—charge identifier, X[X(49)]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Order—charge identifier,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Charge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9b157c2b36466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for the charge for which a person is placed on a legal order or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8866ebeac54f7c">
              <w:r>
                <w:rPr>
                  <w:rStyle w:val="Hyperlink"/>
                </w:rPr>
                <w:t xml:space="preserve">Order—charge identifier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charge identifier matches the charge identifier of another record for the same person identifier, the charge types must be the same.</w:t>
            </w:r>
          </w:p>
          <w:p>
            <w:pPr/>
            <w:r>
              <w:rPr>
                <w:rStyle w:val="row-content-rich-text"/>
              </w:rPr>
              <w:t xml:space="preserve">No null values.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954bc667a04065">
              <w:r>
                <w:rPr>
                  <w:rStyle w:val="Hyperlink"/>
                </w:rPr>
                <w:t xml:space="preserve">Youth Justice Charge file cluster</w:t>
              </w:r>
            </w:hyperlink>
          </w:p>
          <w:p>
            <w:pPr>
              <w:pStyle w:val="registration-status"/>
              <w:spacing w:before="0" w:after="0"/>
            </w:pPr>
            <w:hyperlink w:history="true" r:id="Rcb090a93822947e4">
              <w:r>
                <w:rPr>
                  <w:rStyle w:val="Hyperlink"/>
                  <w:color w:val="244061"/>
                </w:rPr>
                <w:t xml:space="preserve">Youth Justice</w:t>
              </w:r>
            </w:hyperlink>
            <w:r>
              <w:rPr>
                <w:rStyle w:val="row-content"/>
                <w:color w:val="244061"/>
              </w:rPr>
              <w:t xml:space="preserve">, Standard 15/02/2022</w:t>
            </w:r>
          </w:p>
          <w:p>
            <w:r>
              <w:rPr>
                <w:rStyle w:val="row-content"/>
                <w:b/>
                <w:i/>
              </w:rPr>
              <w:t xml:space="preserve">DSS specific information: </w:t>
            </w:r>
          </w:p>
          <w:p>
            <w:r>
              <w:rPr>
                <w:rStyle w:val="row-content"/>
              </w:rPr>
              <w:t xml:space="preserve">The charge identifier allows for a single charge to be mapped to multiple orders. For example, a young person is charged with a particular offence and is placed on supervised bail. At the next court appearance in relation to this charge, they are remanded into custody. At a later date, an unrelated charge results in the young person being placed on supervised bail. </w:t>
            </w:r>
          </w:p>
          <w:p>
            <w:r>
              <w:rPr>
                <w:rStyle w:val="row-content"/>
              </w:rPr>
              <w:t xml:space="preserve">In the table below, the charge identifier shows that the first two records relate to the same offence, but do not relate to the third record, which has the same charge type but a different order identifier.</w:t>
            </w:r>
          </w:p>
          <w:tbl>
            <w:tblPr>
              <w:tblStyle w:val="TableGrid"/>
              <w:tblW w:w="5000" w:type="pct"/>
              <w:tblLayout w:type="autofit"/>
            </w:tblPr>
            <w:tblGrid>
              <w:gridCol/>
              <w:gridCol/>
              <w:gridCol/>
              <w:gridCol/>
            </w:tblGrid>
            <w:tr>
              <w:trPr/>
              <w:tc>
                <w:tcPr>
                  <w:tcW w:w="1000" w:type="pct"/>
                  <w:vAlign w:val="top"/>
                </w:tcPr>
                <w:p>
                  <w:r>
                    <w:rPr>
                      <w:rStyle w:val="row-content"/>
                    </w:rPr>
                    <w:t xml:space="preserve">Person identifier</w:t>
                  </w:r>
                </w:p>
              </w:tc>
              <w:tc>
                <w:tcPr>
                  <w:tcW w:w="1000" w:type="pct"/>
                  <w:vAlign w:val="top"/>
                </w:tcPr>
                <w:p>
                  <w:r>
                    <w:t xml:space="preserve">Charge identifier</w:t>
                  </w:r>
                </w:p>
              </w:tc>
              <w:tc>
                <w:tcPr>
                  <w:tcW w:w="1750" w:type="pct"/>
                  <w:vAlign w:val="top"/>
                </w:tcPr>
                <w:p>
                  <w:r>
                    <w:t xml:space="preserve">Order identifier</w:t>
                  </w:r>
                </w:p>
              </w:tc>
              <w:tc>
                <w:tcPr>
                  <w:tcW w:w="1150" w:type="pct"/>
                  <w:vAlign w:val="top"/>
                </w:tcPr>
                <w:p>
                  <w:r>
                    <w:t xml:space="preserve">Charge type</w:t>
                  </w:r>
                </w:p>
              </w:tc>
            </w:tr>
            <w:tr>
              <w:trPr/>
              <w:tc>
                <w:tcPr>
                  <w:tcW w:w="1000" w:type="pct"/>
                  <w:vAlign w:val="top"/>
                </w:tcPr>
                <w:p>
                  <w:r>
                    <w:t xml:space="preserve">1</w:t>
                  </w:r>
                </w:p>
              </w:tc>
              <w:tc>
                <w:tcPr>
                  <w:tcW w:w="1000" w:type="pct"/>
                  <w:vAlign w:val="top"/>
                </w:tcPr>
                <w:p>
                  <w:r>
                    <w:t xml:space="preserve">1</w:t>
                  </w:r>
                </w:p>
              </w:tc>
              <w:tc>
                <w:tcPr>
                  <w:tcW w:w="1750" w:type="pct"/>
                  <w:vAlign w:val="top"/>
                </w:tcPr>
                <w:p>
                  <w:r>
                    <w:t xml:space="preserve">200001</w:t>
                  </w:r>
                </w:p>
              </w:tc>
              <w:tc>
                <w:tcPr>
                  <w:tcW w:w="1150" w:type="pct"/>
                  <w:vAlign w:val="top"/>
                </w:tcPr>
                <w:p>
                  <w:r>
                    <w:t xml:space="preserve">0611</w:t>
                  </w:r>
                </w:p>
              </w:tc>
            </w:tr>
            <w:tr>
              <w:trPr/>
              <w:tc>
                <w:tcPr>
                  <w:tcW w:w="1000" w:type="pct"/>
                  <w:vAlign w:val="top"/>
                </w:tcPr>
                <w:p>
                  <w:r>
                    <w:t xml:space="preserve">1</w:t>
                  </w:r>
                </w:p>
              </w:tc>
              <w:tc>
                <w:tcPr>
                  <w:tcW w:w="1000" w:type="pct"/>
                  <w:vAlign w:val="top"/>
                </w:tcPr>
                <w:p>
                  <w:r>
                    <w:t xml:space="preserve">1</w:t>
                  </w:r>
                </w:p>
              </w:tc>
              <w:tc>
                <w:tcPr>
                  <w:tcW w:w="1750" w:type="pct"/>
                  <w:vAlign w:val="top"/>
                </w:tcPr>
                <w:p>
                  <w:r>
                    <w:t xml:space="preserve">200056</w:t>
                  </w:r>
                </w:p>
              </w:tc>
              <w:tc>
                <w:tcPr>
                  <w:tcW w:w="1150" w:type="pct"/>
                  <w:vAlign w:val="top"/>
                </w:tcPr>
                <w:p>
                  <w:r>
                    <w:t xml:space="preserve">0611</w:t>
                  </w:r>
                </w:p>
              </w:tc>
            </w:tr>
            <w:tr>
              <w:trPr/>
              <w:tc>
                <w:tcPr>
                  <w:tcW w:w="1000" w:type="pct"/>
                  <w:vAlign w:val="top"/>
                </w:tcPr>
                <w:p>
                  <w:r>
                    <w:t xml:space="preserve">1</w:t>
                  </w:r>
                </w:p>
              </w:tc>
              <w:tc>
                <w:tcPr>
                  <w:tcW w:w="1000" w:type="pct"/>
                  <w:vAlign w:val="top"/>
                </w:tcPr>
                <w:p>
                  <w:r>
                    <w:t xml:space="preserve">2</w:t>
                  </w:r>
                </w:p>
              </w:tc>
              <w:tc>
                <w:tcPr>
                  <w:tcW w:w="1750" w:type="pct"/>
                  <w:vAlign w:val="top"/>
                </w:tcPr>
                <w:p>
                  <w:r>
                    <w:t xml:space="preserve">200082</w:t>
                  </w:r>
                </w:p>
              </w:tc>
              <w:tc>
                <w:tcPr>
                  <w:tcW w:w="1150" w:type="pct"/>
                  <w:vAlign w:val="top"/>
                </w:tcPr>
                <w:p>
                  <w:r>
                    <w:t xml:space="preserve">0611</w:t>
                  </w:r>
                </w:p>
              </w:tc>
            </w:tr>
          </w:tbl>
          <w:p>
            <w:r>
              <w:br/>
            </w:r>
            <w:r>
              <w:br/>
            </w:r>
          </w:p>
        </w:tc>
      </w:tr>
    </w:tbl>
    <w:p/>
    <w:tbl>
      <w:tblPr>
        <w:tblStyle w:val="TableGrid"/>
        <w:tblW w:w="0" w:type="auto"/>
      </w:tblPr>
    </w:tbl>
    <w:p>
      <w:r>
        <w:br/>
      </w:r>
    </w:p>
    <w:sectPr>
      <w:footerReference xmlns:r="http://schemas.openxmlformats.org/officeDocument/2006/relationships" w:type="default" r:id="Rb0f5b0439d6a49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512505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d852faeb8a40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f5b0439d6a4994" /><Relationship Type="http://schemas.openxmlformats.org/officeDocument/2006/relationships/header" Target="/word/header1.xml" Id="R8f72a0198d2f4373" /><Relationship Type="http://schemas.openxmlformats.org/officeDocument/2006/relationships/settings" Target="/word/settings.xml" Id="R31f687a5ccbd4e25" /><Relationship Type="http://schemas.openxmlformats.org/officeDocument/2006/relationships/styles" Target="/word/styles.xml" Id="R074ece19e73041d2" /><Relationship Type="http://schemas.openxmlformats.org/officeDocument/2006/relationships/hyperlink" Target="https://meteor-uat.aihw.gov.au/RegistrationAuthority/4" TargetMode="External" Id="R7e9b157c2b364661" /><Relationship Type="http://schemas.openxmlformats.org/officeDocument/2006/relationships/hyperlink" Target="https://meteor-uat.aihw.gov.au/content/512503" TargetMode="External" Id="R8d8866ebeac54f7c" /><Relationship Type="http://schemas.openxmlformats.org/officeDocument/2006/relationships/hyperlink" Target="https://meteor-uat.aihw.gov.au/content/743796" TargetMode="External" Id="R21954bc667a04065" /><Relationship Type="http://schemas.openxmlformats.org/officeDocument/2006/relationships/hyperlink" Target="https://meteor-uat.aihw.gov.au/RegistrationAuthority/4" TargetMode="External" Id="Rcb090a93822947e4" /></Relationships>
</file>

<file path=word/_rels/header1.xml.rels>&#65279;<?xml version="1.0" encoding="utf-8"?><Relationships xmlns="http://schemas.openxmlformats.org/package/2006/relationships"><Relationship Type="http://schemas.openxmlformats.org/officeDocument/2006/relationships/image" Target="/media/image.png" Id="Rc6d852faeb8a402d" /></Relationships>
</file>