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a74ca0cbe345c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08-Major causes of death, 2013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08-Major causes of death,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511924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dd511c7d85488a">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under the </w:t>
            </w:r>
            <w:r>
              <w:rPr>
                <w:rStyle w:val="row-content-rich-text"/>
                <w:i/>
              </w:rPr>
              <w:t xml:space="preserve">Census and Statistics Act 1905</w:t>
            </w:r>
            <w:r>
              <w:rPr>
                <w:rStyle w:val="row-content-rich-text"/>
              </w:rPr>
              <w:t xml:space="preserve">. For information on the institutional environment of the Australian Bureau of Statistics (ABS), including the legislative obligations of the ABS, financing and governance arrangements, and mechanisms for scrutiny of ABS operations,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data is published on an annual basis. Death records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Preliminary estimated resident population (ERP) data is compiled and published quarterly and is generally made available five to six months after the end of each reference quarter.</w:t>
            </w:r>
          </w:p>
          <w:p>
            <w:pPr>
              <w:spacing w:after="160"/>
            </w:pPr>
            <w:r>
              <w:rPr>
                <w:rStyle w:val="row-content-rich-text"/>
              </w:rPr>
              <w:t xml:space="preserve">Every year, the 30 June ERP is further disaggregated by sex and single year of age, and is made available five to six months after the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Final estimates are made available every 5 years after a census and revisions are made to the previous intercensal period. ERP data is not changed once it has been finalised. Releasing preliminary, revised and final ERP involves a balance between timeliness and accuracy.</w:t>
            </w:r>
          </w:p>
          <w:p>
            <w:pPr/>
            <w:r>
              <w:rPr>
                <w:rStyle w:val="row-content-rich-text"/>
              </w:rPr>
              <w:t xml:space="preserve">For further information on ABS Estimated Resident Population,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ERP data is available in a variety of formats on the ABS website under the 3101.0 and 3201.0 product families. Further information on deaths and mortality may be available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Data for all deaths in this indicator have been age-standardised, using the direct method, to 95 years +. Data for Indigenous deaths in this indicator have been age-standardised, using the direct method, to 75 years + to account for differences between the age structures of the Indigenous and non-Indigenous populations. Direct age-standardisation to the 2001 total Australian population was used. Age-standardised results provide a measure of relative difference only between populations.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collection includes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spacing w:after="160"/>
            </w:pPr>
            <w:r>
              <w:rPr>
                <w:rStyle w:val="row-content-rich-text"/>
              </w:rPr>
              <w:t xml:space="preserve">Data in the Causes of Death collection include demographic items, as well as causes of death information, which is coded according to the International Statistical Classification of Diseases and Related Health Problems (ICD). ICD is the international standard classification for epidemiological purposes and is designed to promote international comparability in the collection, processing, classification, and presentation of causes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pPr/>
            <w:r>
              <w:rPr>
                <w:rStyle w:val="row-content-rich-text"/>
              </w:rPr>
              <w:t xml:space="preserve">For further information on the ABS Causes of Death collection,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is obtained from a complete enumeration of deaths registered during a specified period and is not subject to sampling error. However, deaths data sources are subject to non-sampling error which can arise from inaccuracies in collecting, recording and processing the data.</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w:t>
            </w:r>
          </w:p>
          <w:p>
            <w:pPr>
              <w:spacing w:after="160"/>
            </w:pPr>
            <w:r>
              <w:rPr>
                <w:rStyle w:val="row-content-rich-text"/>
              </w:rPr>
              <w:t xml:space="preserve">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Previous COAG reporting and </w:t>
            </w:r>
            <w:r>
              <w:rPr>
                <w:rStyle w:val="row-content-rich-text"/>
                <w:i/>
              </w:rPr>
              <w:t xml:space="preserve">Causes of Death, Australia</w:t>
            </w:r>
            <w:r>
              <w:rPr>
                <w:rStyle w:val="row-content-rich-text"/>
              </w:rPr>
              <w:t xml:space="preserve"> (cat. no. 3303.0) publications prior to the 2010 edition indicated that all coroner certified deaths registered after 1 January 2007 are now subject to a revisions process. In order to improve the quality of historical data, the 2006 reference year data has also been revised. Therefore, in this round of COAG reporting, 2006, 2007 and 2008 data is final, 2009 data is revised and 2010 data is preliminary. Data for 2009 and 2010 is subject to further revisions. This is a change from previous years (up to the 2005 reference year) where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coding rules. The revision process enables the use of additional information relating to coroner certified deaths, as it becomes available over time. This results in increased specificity of the assigned ICD-10 codes.</w:t>
            </w:r>
          </w:p>
          <w:p>
            <w:pPr>
              <w:spacing w:after="160"/>
            </w:pPr>
            <w:r>
              <w:rPr>
                <w:rStyle w:val="row-content-rich-text"/>
              </w:rPr>
              <w:t xml:space="preserve">Revisions will only impact on coroner certified deaths, as further information becomes available to the ABS about the causes of these deaths. See Technical Note: Causes of Death Revisions 2006 and </w:t>
            </w:r>
            <w:r>
              <w:rPr>
                <w:rStyle w:val="row-content-rich-text"/>
                <w:i/>
              </w:rPr>
              <w:t xml:space="preserve">Causes of Death Revisions 2008 and 2009</w:t>
            </w:r>
            <w:r>
              <w:rPr>
                <w:rStyle w:val="row-content-rich-text"/>
              </w:rPr>
              <w:t xml:space="preserve"> and in </w:t>
            </w:r>
            <w:r>
              <w:rPr>
                <w:rStyle w:val="row-content-rich-text"/>
                <w:i/>
              </w:rPr>
              <w:t xml:space="preserve">Causes of Death, Australia, 2010</w:t>
            </w:r>
            <w:r>
              <w:rPr>
                <w:rStyle w:val="row-content-rich-text"/>
              </w:rPr>
              <w:t xml:space="preserve"> (cat.no. 3303.0).</w:t>
            </w:r>
          </w:p>
          <w:p>
            <w:pPr>
              <w:spacing w:after="160"/>
            </w:pPr>
            <w:r>
              <w:rPr>
                <w:rStyle w:val="row-content-rich-text"/>
              </w:rPr>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 1992 and 2006 (including a few for which a date of death was unknown).</w:t>
            </w:r>
          </w:p>
          <w:p>
            <w:pPr>
              <w:spacing w:after="160"/>
            </w:pPr>
            <w:r>
              <w:rPr>
                <w:rStyle w:val="row-content-rich-text"/>
              </w:rPr>
              <w:t xml:space="preserve">Of these, around three-quarters (284) were deaths of Aboriginal and Torres Strait Islander Australians.</w:t>
            </w:r>
          </w:p>
          <w:p>
            <w:pPr>
              <w:spacing w:after="160"/>
            </w:pPr>
            <w:r>
              <w:rPr>
                <w:rStyle w:val="row-content-rich-text"/>
              </w:rPr>
              <w:t xml:space="preserve">The ABS discussed different methods of adjustment of Queensland death registrations data for 2010 with key stakeholders. Following the discussion, a decision was made by the ABS and key stakeholders to use an adjustment method that added together deaths registered in 2010 for usual residents of Queensland which occurred in 2007, 2008, 2009 and 2010. This method minimises the impact on mortality indicators used in various government reports. However, care should still be taken when interpreting Aboriginal and Torres Strait Islander death data for Queensland for 2010. Please note that there are differences between data output in the </w:t>
            </w:r>
            <w:r>
              <w:rPr>
                <w:rStyle w:val="row-content-rich-text"/>
                <w:i/>
              </w:rPr>
              <w:t xml:space="preserve">Causes of Death, Australia, 2010 </w:t>
            </w:r>
            <w:r>
              <w:rPr>
                <w:rStyle w:val="row-content-rich-text"/>
              </w:rPr>
              <w:t xml:space="preserve">publication (cat. No. 3303.0) and 2010 data reported for COAG, as this adjustment was not applied in the publication. For further details see Tec</w:t>
            </w:r>
            <w:r>
              <w:rPr>
                <w:rStyle w:val="row-content-rich-text"/>
                <w:i/>
              </w:rPr>
              <w:t xml:space="preserve">hnical Note: Registration of outstanding deaths, Queensland 2010</w:t>
            </w:r>
            <w:r>
              <w:rPr>
                <w:rStyle w:val="row-content-rich-text"/>
              </w:rPr>
              <w:t xml:space="preserve">, from the </w:t>
            </w:r>
            <w:r>
              <w:rPr>
                <w:rStyle w:val="row-content-rich-text"/>
                <w:i/>
              </w:rPr>
              <w:t xml:space="preserve">Deaths, Australia, 2010</w:t>
            </w:r>
            <w:r>
              <w:rPr>
                <w:rStyle w:val="row-content-rich-text"/>
              </w:rPr>
              <w:t xml:space="preserve"> publication (cat. no, 3302.0) and Explanatory Note 103 in the </w:t>
            </w:r>
            <w:r>
              <w:rPr>
                <w:rStyle w:val="row-content-rich-text"/>
                <w:i/>
              </w:rPr>
              <w:t xml:space="preserve">Causes of Death, Australia, 2010</w:t>
            </w:r>
            <w:r>
              <w:rPr>
                <w:rStyle w:val="row-content-rich-text"/>
              </w:rPr>
              <w:t xml:space="preserve"> publication (cat. no. 3303.0).</w:t>
            </w:r>
          </w:p>
          <w:p>
            <w:pPr>
              <w:spacing w:after="160"/>
            </w:pPr>
            <w:r>
              <w:rPr>
                <w:rStyle w:val="row-content-rich-text"/>
              </w:rPr>
              <w:t xml:space="preserve">Investigation conducted by the WA Registrar of Births, Deaths and Marriages indicated that some deaths of non-Indigenous people were wrongly recorded as deaths of Indigenous people in WA for 2007, 2008 and 2009. The ABS discussed this issue with a range of key stakeholders and users of Aboriginal and Torres Strait Islander deaths statistics.</w:t>
            </w:r>
          </w:p>
          <w:p>
            <w:pPr>
              <w:spacing w:after="160"/>
            </w:pPr>
            <w:r>
              <w:rPr>
                <w:rStyle w:val="row-content-rich-text"/>
              </w:rPr>
              <w:t xml:space="preserve">Following this discussion, the ABS did not release WA Aboriginal and Torres Strait Islander deaths data for the years 2007, 2008 and 2009 in the 2010 issue of Deaths, Australia publication, or in the 2011 COAG data supply. The WA Registry corrected the data and resupplied the corrected data to the ABS. These corrected data were then released by the ABS in spreadsheets attached to </w:t>
            </w:r>
            <w:r>
              <w:rPr>
                <w:rStyle w:val="row-content-rich-text"/>
                <w:i/>
              </w:rPr>
              <w:t xml:space="preserve">Deaths, Australia, 2010</w:t>
            </w:r>
            <w:r>
              <w:rPr>
                <w:rStyle w:val="row-content-rich-text"/>
              </w:rPr>
              <w:t xml:space="preserve"> (ABS, 2011) publication on 24 May 2012, and are now included in this round of COAG reporting.</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w:t>
            </w:r>
          </w:p>
          <w:p>
            <w:pPr>
              <w:spacing w:after="160"/>
            </w:pPr>
            <w:r>
              <w:rPr>
                <w:rStyle w:val="row-content-rich-text"/>
              </w:rPr>
              <w:t xml:space="preserve">For more information see the </w:t>
            </w:r>
            <w:r>
              <w:rPr>
                <w:rStyle w:val="row-content-rich-text"/>
                <w:i/>
              </w:rPr>
              <w:t xml:space="preserve">Demography Working Paper 1998/2 - Quarterly birth and death estimates, 1998</w:t>
            </w:r>
            <w:r>
              <w:rPr>
                <w:rStyle w:val="row-content-rich-text"/>
              </w:rPr>
              <w:t xml:space="preserve"> (cat. no. 3114.0) and </w:t>
            </w:r>
            <w:r>
              <w:rPr>
                <w:rStyle w:val="row-content-rich-text"/>
                <w:i/>
              </w:rPr>
              <w:t xml:space="preserve">Australian Demographic Statistics</w:t>
            </w:r>
            <w:r>
              <w:rPr>
                <w:rStyle w:val="row-content-rich-text"/>
              </w:rPr>
              <w:t xml:space="preserve"> (cat. no. 3101.0).</w:t>
            </w:r>
          </w:p>
          <w:p>
            <w:pPr>
              <w:spacing w:after="160"/>
            </w:pPr>
            <w:r>
              <w:rPr>
                <w:rStyle w:val="row-content-rich-text"/>
              </w:rPr>
              <w:t xml:space="preserve">Non-Indigenous estimates are available for census years only. In the intervening years, Indigenous population projections are based on assumptions about past and future levels of fertility, mortality and migration. In the absence of non-Indigenous population figures for these years, it is possible to derive denominators for calculating non-Indigenous rates by subtracting the projected Indigenous population from the total population. Such figures have a degree of uncertainty and should be used with caution, particularly as the time from the base year of the projection series increases.</w:t>
            </w:r>
          </w:p>
          <w:p>
            <w:pPr>
              <w:spacing w:after="160"/>
            </w:pPr>
            <w:r>
              <w:rPr>
                <w:rStyle w:val="row-content-rich-text"/>
              </w:rPr>
              <w:t xml:space="preserve">Non-Indigenous data from the Causes of Death collection do not include death registrations with a ‘not stated’ Indigenous status.</w:t>
            </w:r>
          </w:p>
          <w:p>
            <w:pPr>
              <w:spacing w:after="160"/>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As such, age-standardised death rates based on a very low death count have been deemed unpublishable. Some cells have also not been published to prevent back-calculation of these suppressed cells.</w:t>
            </w:r>
          </w:p>
          <w:p>
            <w:pPr/>
            <w:r>
              <w:rPr>
                <w:rStyle w:val="row-content-rich-text"/>
              </w:rPr>
              <w:t xml:space="preserve">Caution should be used when interpreting rates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5bd15660d58496d">
              <w:r>
                <w:rPr>
                  <w:rStyle w:val="Hyperlink"/>
                </w:rPr>
                <w:t xml:space="preserve">National Healthcare Agreement: PI 59-Age-standardised mortality by major cause of death, 2012 QS</w:t>
              </w:r>
            </w:hyperlink>
          </w:p>
          <w:p>
            <w:pPr>
              <w:pStyle w:val="registration-status"/>
              <w:spacing w:before="0" w:after="0"/>
            </w:pPr>
            <w:hyperlink w:history="true" r:id="Rb11e404be28a448b">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4dc7bb19ac8347d8">
              <w:r>
                <w:rPr>
                  <w:rStyle w:val="Hyperlink"/>
                </w:rPr>
                <w:t xml:space="preserve">National Healthcare Agreement: PI 08-Major causes of death, 2014 QS</w:t>
              </w:r>
            </w:hyperlink>
          </w:p>
          <w:p>
            <w:pPr>
              <w:pStyle w:val="registration-status"/>
              <w:spacing w:before="0" w:after="0"/>
            </w:pPr>
            <w:hyperlink w:history="true" r:id="Rd0b0fe377a284703">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122a321800854026">
              <w:r>
                <w:rPr>
                  <w:rStyle w:val="Hyperlink"/>
                </w:rPr>
                <w:t xml:space="preserve">National Healthcare Agreement: PI 08-Major causes of death, 2013</w:t>
              </w:r>
            </w:hyperlink>
          </w:p>
          <w:p>
            <w:pPr>
              <w:pStyle w:val="registration-status"/>
              <w:spacing w:before="0" w:after="0"/>
            </w:pPr>
            <w:hyperlink w:history="true" r:id="R18568e34f9ef4190">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00c530f9202647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511924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bf5bc19e3a47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c530f920264768" /><Relationship Type="http://schemas.openxmlformats.org/officeDocument/2006/relationships/header" Target="/word/header1.xml" Id="Rbfad1fd6a3884acc" /><Relationship Type="http://schemas.openxmlformats.org/officeDocument/2006/relationships/settings" Target="/word/settings.xml" Id="R2d57ac899ae94b1e" /><Relationship Type="http://schemas.openxmlformats.org/officeDocument/2006/relationships/styles" Target="/word/styles.xml" Id="Rd3d306460cbc4575" /><Relationship Type="http://schemas.openxmlformats.org/officeDocument/2006/relationships/hyperlink" Target="https://meteor-uat.aihw.gov.au/RegistrationAuthority/14" TargetMode="External" Id="Rb2dd511c7d85488a" /><Relationship Type="http://schemas.openxmlformats.org/officeDocument/2006/relationships/hyperlink" Target="https://meteor-uat.aihw.gov.au/content/500078" TargetMode="External" Id="Rc5bd15660d58496d" /><Relationship Type="http://schemas.openxmlformats.org/officeDocument/2006/relationships/hyperlink" Target="https://meteor-uat.aihw.gov.au/RegistrationAuthority/14" TargetMode="External" Id="Rb11e404be28a448b" /><Relationship Type="http://schemas.openxmlformats.org/officeDocument/2006/relationships/hyperlink" Target="https://meteor-uat.aihw.gov.au/content/517756" TargetMode="External" Id="R4dc7bb19ac8347d8" /><Relationship Type="http://schemas.openxmlformats.org/officeDocument/2006/relationships/hyperlink" Target="https://meteor-uat.aihw.gov.au/RegistrationAuthority/14" TargetMode="External" Id="Rd0b0fe377a284703" /><Relationship Type="http://schemas.openxmlformats.org/officeDocument/2006/relationships/hyperlink" Target="https://meteor-uat.aihw.gov.au/content/497524" TargetMode="External" Id="R122a321800854026" /><Relationship Type="http://schemas.openxmlformats.org/officeDocument/2006/relationships/hyperlink" Target="https://meteor-uat.aihw.gov.au/RegistrationAuthority/14" TargetMode="External" Id="R18568e34f9ef4190" /></Relationships>
</file>

<file path=word/_rels/header1.xml.rels>&#65279;<?xml version="1.0" encoding="utf-8"?><Relationships xmlns="http://schemas.openxmlformats.org/package/2006/relationships"><Relationship Type="http://schemas.openxmlformats.org/officeDocument/2006/relationships/image" Target="/media/image.png" Id="R4fbf5bc19e3a47ed" /></Relationships>
</file>