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ce67e21b724e6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8a2318be5491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(AHS)/National Health Survey (NHS) was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AHS is conducted every three years over a 12 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First Results</w:t>
            </w:r>
            <w:r>
              <w:rPr>
                <w:rStyle w:val="row-content-rich-text"/>
              </w:rPr>
              <w:t xml:space="preserve"> (cat. no. 4364.0.55.001) for an overview of results from the NHS component of the AHS.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(cat. no. 4363.0.55.001)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in all States and Territories, excluding very remote areas. Non-private dwellings such as hotels, motels, hospitals, nursing homes and short-stay caravan parks were also not included in the survey.</w:t>
            </w:r>
          </w:p>
          <w:p>
            <w:pPr>
              <w:spacing w:after="160"/>
            </w:pPr>
            <w:r>
              <w:rPr>
                <w:rStyle w:val="row-content-rich-text"/>
              </w:rPr>
              <w:t xml:space="preserve">The exclusion of persons usually residing in very remote areas has a small impact on estimates, except for the Northern Territory, where such persons make up a relatively large proportion of the population. The response rate for the 2011-12 NHS component was 85 per cent. Results are weighted to account for non-response.</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w:t>
            </w:r>
          </w:p>
          <w:p>
            <w:pPr>
              <w:spacing w:after="160"/>
            </w:pPr>
            <w:r>
              <w:rPr>
                <w:rStyle w:val="row-content-rich-text"/>
              </w:rPr>
              <w:t xml:space="preserve">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Data for Northern Territory in 2011-12 is not comparable to previous years due to the increase in sample size.</w:t>
            </w:r>
          </w:p>
          <w:p>
            <w:pPr>
              <w:spacing w:after="160"/>
            </w:pPr>
            <w:r>
              <w:rPr>
                <w:rStyle w:val="row-content-rich-text"/>
              </w:rPr>
              <w:t xml:space="preserve">This indicator generally has acceptable levels of sampling error for State/Territory by sex and age breakdown, for persons under the age of 65 years. For persons aged 65 years and over, rates should either be used with caution or are considered too unreliable for general use.</w:t>
            </w:r>
          </w:p>
          <w:p>
            <w:pPr>
              <w:spacing w:after="160"/>
            </w:pPr>
            <w:r>
              <w:rPr>
                <w:rStyle w:val="row-content-rich-text"/>
              </w:rPr>
              <w:t xml:space="preserve">RSEs for adult smoking rates by State/Territory and remote areas are mostly greater than 25 per cent and should either be used with caution or are considered too unreliable for general use.</w:t>
            </w:r>
          </w:p>
          <w:p>
            <w:pPr>
              <w:spacing w:after="160"/>
            </w:pPr>
            <w:r>
              <w:rPr>
                <w:rStyle w:val="row-content-rich-text"/>
              </w:rPr>
              <w:t xml:space="preserve">Adult smoking rates generally have acceptable levels of sampling error for State/Territory and SEIFA quintiles, though some rates for Tasmania, Australian Capital Territory and Northern Territory should either be used with caution or are considered too unreliable for general use.</w:t>
            </w:r>
          </w:p>
          <w:p>
            <w:pPr/>
            <w:r>
              <w:rPr>
                <w:rStyle w:val="row-content-rich-text"/>
              </w:rPr>
              <w:t xml:space="preserve">The accuracy of current daily smoker rates, particularly at the finer disaggregation levels is expected to improve in the 2014 reporting cycle with the use of the core sample of 34,000 people. For information on AHS survey design, see the </w:t>
            </w:r>
            <w:r>
              <w:rPr>
                <w:rStyle w:val="row-content-rich-text"/>
                <w:i/>
              </w:rPr>
              <w:t xml:space="preserve">Australian Health Survey: Users’ Guide</w:t>
            </w:r>
            <w:r>
              <w:rPr>
                <w:rStyle w:val="row-content-rich-text"/>
              </w:rPr>
              <w:t xml:space="preserve"> (cat. no. 4363.0.55.001)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AHS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2010 show slightly lower estimates for current daily smoking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d3e1bf2ab4455e">
              <w:r>
                <w:rPr>
                  <w:rStyle w:val="Hyperlink"/>
                </w:rPr>
                <w:t xml:space="preserve">National Healthcare Agreement: P06-Proportion of adults who are daily smokers, 2010 QS</w:t>
              </w:r>
            </w:hyperlink>
          </w:p>
          <w:p>
            <w:pPr>
              <w:pStyle w:val="registration-status"/>
              <w:spacing w:before="0" w:after="0"/>
            </w:pPr>
            <w:hyperlink w:history="true" r:id="R9f39658f9d694e6d">
              <w:r>
                <w:rPr>
                  <w:rStyle w:val="Hyperlink"/>
                  <w:color w:val="244061"/>
                </w:rPr>
                <w:t xml:space="preserve">Health!</w:t>
              </w:r>
            </w:hyperlink>
            <w:r>
              <w:rPr>
                <w:rStyle w:val="row-content"/>
                <w:color w:val="244061"/>
              </w:rPr>
              <w:t xml:space="preserve">, Superseded 12/03/2015</w:t>
            </w:r>
          </w:p>
          <w:p>
            <w:r>
              <w:br/>
            </w:r>
            <w:r>
              <w:rPr>
                <w:rStyle w:val="row-content"/>
              </w:rPr>
              <w:t xml:space="preserve">Has been superseded by </w:t>
            </w:r>
            <w:hyperlink w:history="true" r:id="Re9f064e6112d46f8">
              <w:r>
                <w:rPr>
                  <w:rStyle w:val="Hyperlink"/>
                </w:rPr>
                <w:t xml:space="preserve">National Healthcare Agreement: PI 04-Rates of current daily smokers, 2014 QS</w:t>
              </w:r>
            </w:hyperlink>
          </w:p>
          <w:p>
            <w:pPr>
              <w:pStyle w:val="registration-status"/>
              <w:spacing w:before="0" w:after="0"/>
            </w:pPr>
            <w:hyperlink w:history="true" r:id="Rfb23144a7845464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b2e5ece78794b2e">
              <w:r>
                <w:rPr>
                  <w:rStyle w:val="Hyperlink"/>
                </w:rPr>
                <w:t xml:space="preserve">National Healthcare Agreement: PI 04-Rates of current daily smokers, 2013</w:t>
              </w:r>
            </w:hyperlink>
          </w:p>
          <w:p>
            <w:pPr>
              <w:pStyle w:val="registration-status"/>
              <w:spacing w:before="0" w:after="0"/>
            </w:pPr>
            <w:hyperlink w:history="true" r:id="R4656c773a69c4efc">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0e4ace6fd01a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d5c3f74d5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4ace6fd01a47f4" /><Relationship Type="http://schemas.openxmlformats.org/officeDocument/2006/relationships/header" Target="/word/header1.xml" Id="Rfe2d83701969469a" /><Relationship Type="http://schemas.openxmlformats.org/officeDocument/2006/relationships/settings" Target="/word/settings.xml" Id="R85a5540a0b514ad7" /><Relationship Type="http://schemas.openxmlformats.org/officeDocument/2006/relationships/styles" Target="/word/styles.xml" Id="R246d24f1f28f4a08" /><Relationship Type="http://schemas.openxmlformats.org/officeDocument/2006/relationships/hyperlink" Target="https://meteor-uat.aihw.gov.au/RegistrationAuthority/14" TargetMode="External" Id="R2e38a2318be54911" /><Relationship Type="http://schemas.openxmlformats.org/officeDocument/2006/relationships/hyperlink" Target="https://meteor-uat.aihw.gov.au/content/407734" TargetMode="External" Id="Rfcd3e1bf2ab4455e" /><Relationship Type="http://schemas.openxmlformats.org/officeDocument/2006/relationships/hyperlink" Target="https://meteor-uat.aihw.gov.au/RegistrationAuthority/14" TargetMode="External" Id="R9f39658f9d694e6d" /><Relationship Type="http://schemas.openxmlformats.org/officeDocument/2006/relationships/hyperlink" Target="https://meteor-uat.aihw.gov.au/content/517764" TargetMode="External" Id="Re9f064e6112d46f8" /><Relationship Type="http://schemas.openxmlformats.org/officeDocument/2006/relationships/hyperlink" Target="https://meteor-uat.aihw.gov.au/RegistrationAuthority/14" TargetMode="External" Id="Rfb23144a78454642" /><Relationship Type="http://schemas.openxmlformats.org/officeDocument/2006/relationships/hyperlink" Target="https://meteor-uat.aihw.gov.au/content/498203" TargetMode="External" Id="Reb2e5ece78794b2e" /><Relationship Type="http://schemas.openxmlformats.org/officeDocument/2006/relationships/hyperlink" Target="https://meteor-uat.aihw.gov.au/RegistrationAuthority/14" TargetMode="External" Id="R4656c773a69c4efc" /></Relationships>
</file>

<file path=word/_rels/header1.xml.rels>&#65279;<?xml version="1.0" encoding="utf-8"?><Relationships xmlns="http://schemas.openxmlformats.org/package/2006/relationships"><Relationship Type="http://schemas.openxmlformats.org/officeDocument/2006/relationships/image" Target="/media/image.png" Id="R2ebd5c3f74d54993" /></Relationships>
</file>