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7f614f288429a" /></Relationships>
</file>

<file path=word/document.xml><?xml version="1.0" encoding="utf-8"?>
<w:document xmlns:r="http://schemas.openxmlformats.org/officeDocument/2006/relationships" xmlns:w="http://schemas.openxmlformats.org/wordprocessingml/2006/main">
  <w:body>
    <w:p>
      <w:pPr>
        <w:pStyle w:val="Title"/>
      </w:pPr>
      <w:r>
        <w:t>Appointment—outcome,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Appointment—outcome,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outcome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APP_OUTCOME_CODE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86c62c827456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attendance of the patient at the appointment, the reason why the appointment did not occur or the future activity that will be performed at the end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06d5159dd64d77">
              <w:r>
                <w:rPr>
                  <w:rStyle w:val="Hyperlink"/>
                </w:rPr>
                <w:t xml:space="preserve">Appointment—outcome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681481ac8d477f">
              <w:r>
                <w:rPr>
                  <w:rStyle w:val="Hyperlink"/>
                </w:rPr>
                <w:t xml:space="preserve">Appointment outcome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w:t>
            </w:r>
          </w:p>
        </w:tc>
        <w:tc>
          <w:tcPr>
            <w:tcBorders>
              <w:top w:val="none" w:color="000000" w:sz="0"/>
              <w:left w:val="none" w:color="000000" w:sz="0"/>
              <w:bottom w:val="none" w:color="000000" w:sz="0"/>
              <w:right w:val="none" w:color="000000" w:sz="0"/>
            </w:tcBorders>
            <w:vAlign w:val="top"/>
          </w:tcPr>
          <w:p>
            <w:r>
              <w:t xml:space="preserve">Admit to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ARV</w:t>
            </w:r>
          </w:p>
        </w:tc>
        <w:tc>
          <w:tcPr>
            <w:tcBorders>
              <w:top w:val="none" w:color="000000" w:sz="0"/>
              <w:left w:val="none" w:color="000000" w:sz="0"/>
              <w:bottom w:val="none" w:color="000000" w:sz="0"/>
              <w:right w:val="none" w:color="000000" w:sz="0"/>
            </w:tcBorders>
            <w:vAlign w:val="top"/>
          </w:tcPr>
          <w:p>
            <w:r>
              <w:t xml:space="preserve">Arrived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COU</w:t>
            </w:r>
          </w:p>
        </w:tc>
        <w:tc>
          <w:tcPr>
            <w:tcBorders>
              <w:top w:val="none" w:color="000000" w:sz="0"/>
              <w:left w:val="none" w:color="000000" w:sz="0"/>
              <w:bottom w:val="none" w:color="000000" w:sz="0"/>
              <w:right w:val="none" w:color="000000" w:sz="0"/>
            </w:tcBorders>
            <w:vAlign w:val="top"/>
          </w:tcPr>
          <w:p>
            <w:r>
              <w:t xml:space="preserve">Counselling of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DEC</w:t>
            </w:r>
          </w:p>
        </w:tc>
        <w:tc>
          <w:tcPr>
            <w:tcBorders>
              <w:top w:val="none" w:color="000000" w:sz="0"/>
              <w:left w:val="none" w:color="000000" w:sz="0"/>
              <w:bottom w:val="none" w:color="000000" w:sz="0"/>
              <w:right w:val="none" w:color="000000" w:sz="0"/>
            </w:tcBorders>
            <w:vAlign w:val="top"/>
          </w:tcPr>
          <w:p>
            <w:r>
              <w:t xml:space="preserve">Deceased in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DIE</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DIS</w:t>
            </w:r>
          </w:p>
        </w:tc>
        <w:tc>
          <w:tcPr>
            <w:tcBorders>
              <w:top w:val="none" w:color="000000" w:sz="0"/>
              <w:left w:val="none" w:color="000000" w:sz="0"/>
              <w:bottom w:val="none" w:color="000000" w:sz="0"/>
              <w:right w:val="none" w:color="000000" w:sz="0"/>
            </w:tcBorders>
            <w:vAlign w:val="top"/>
          </w:tcPr>
          <w:p>
            <w:r>
              <w:t xml:space="preserve">Discharge from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w:t>
            </w:r>
          </w:p>
        </w:tc>
        <w:tc>
          <w:tcPr>
            <w:tcBorders>
              <w:top w:val="none" w:color="000000" w:sz="0"/>
              <w:left w:val="none" w:color="000000" w:sz="0"/>
              <w:bottom w:val="none" w:color="000000" w:sz="0"/>
              <w:right w:val="none" w:color="000000" w:sz="0"/>
            </w:tcBorders>
            <w:vAlign w:val="top"/>
          </w:tcPr>
          <w:p>
            <w:r>
              <w:t xml:space="preserve">Patient arrived in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Patient late not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PDA</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PLN</w:t>
            </w:r>
          </w:p>
        </w:tc>
        <w:tc>
          <w:tcPr>
            <w:tcBorders>
              <w:top w:val="none" w:color="000000" w:sz="0"/>
              <w:left w:val="none" w:color="000000" w:sz="0"/>
              <w:bottom w:val="none" w:color="000000" w:sz="0"/>
              <w:right w:val="none" w:color="000000" w:sz="0"/>
            </w:tcBorders>
            <w:vAlign w:val="top"/>
          </w:tcPr>
          <w:p>
            <w:r>
              <w:t xml:space="preserve">Patient left not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RAS</w:t>
            </w:r>
          </w:p>
        </w:tc>
        <w:tc>
          <w:tcPr>
            <w:tcBorders>
              <w:top w:val="none" w:color="000000" w:sz="0"/>
              <w:left w:val="none" w:color="000000" w:sz="0"/>
              <w:bottom w:val="none" w:color="000000" w:sz="0"/>
              <w:right w:val="none" w:color="000000" w:sz="0"/>
            </w:tcBorders>
            <w:vAlign w:val="top"/>
          </w:tcPr>
          <w:p>
            <w:r>
              <w:t xml:space="preserve">Refer to other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REA</w:t>
            </w:r>
          </w:p>
        </w:tc>
        <w:tc>
          <w:tcPr>
            <w:tcBorders>
              <w:top w:val="none" w:color="000000" w:sz="0"/>
              <w:left w:val="none" w:color="000000" w:sz="0"/>
              <w:bottom w:val="none" w:color="000000" w:sz="0"/>
              <w:right w:val="none" w:color="000000" w:sz="0"/>
            </w:tcBorders>
            <w:vAlign w:val="top"/>
          </w:tcPr>
          <w:p>
            <w:r>
              <w:t xml:space="preserve">Reappointment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RED</w:t>
            </w:r>
          </w:p>
        </w:tc>
        <w:tc>
          <w:tcPr>
            <w:tcBorders>
              <w:top w:val="none" w:color="000000" w:sz="0"/>
              <w:left w:val="none" w:color="000000" w:sz="0"/>
              <w:bottom w:val="none" w:color="000000" w:sz="0"/>
              <w:right w:val="none" w:color="000000" w:sz="0"/>
            </w:tcBorders>
            <w:vAlign w:val="top"/>
          </w:tcPr>
          <w:p>
            <w:r>
              <w:t xml:space="preserve">Refer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Further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RGP</w:t>
            </w:r>
          </w:p>
        </w:tc>
        <w:tc>
          <w:tcPr>
            <w:tcBorders>
              <w:top w:val="none" w:color="000000" w:sz="0"/>
              <w:left w:val="none" w:color="000000" w:sz="0"/>
              <w:bottom w:val="none" w:color="000000" w:sz="0"/>
              <w:right w:val="none" w:color="000000" w:sz="0"/>
            </w:tcBorders>
            <w:vAlign w:val="top"/>
          </w:tcPr>
          <w:p>
            <w:r>
              <w:t xml:space="preserve">Referred back to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ROH</w:t>
            </w:r>
          </w:p>
        </w:tc>
        <w:tc>
          <w:tcPr>
            <w:tcBorders>
              <w:top w:val="none" w:color="000000" w:sz="0"/>
              <w:left w:val="none" w:color="000000" w:sz="0"/>
              <w:bottom w:val="none" w:color="000000" w:sz="0"/>
              <w:right w:val="none" w:color="000000" w:sz="0"/>
            </w:tcBorders>
            <w:vAlign w:val="top"/>
          </w:tcPr>
          <w:p>
            <w:r>
              <w:t xml:space="preserve">Refer to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w:t>
            </w:r>
          </w:p>
        </w:tc>
        <w:tc>
          <w:tcPr>
            <w:tcBorders>
              <w:top w:val="none" w:color="000000" w:sz="0"/>
              <w:left w:val="none" w:color="000000" w:sz="0"/>
              <w:bottom w:val="none" w:color="000000" w:sz="0"/>
              <w:right w:val="none" w:color="000000" w:sz="0"/>
            </w:tcBorders>
            <w:vAlign w:val="top"/>
          </w:tcPr>
          <w:p>
            <w:r>
              <w:t xml:space="preserve">Return to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RWL</w:t>
            </w:r>
          </w:p>
        </w:tc>
        <w:tc>
          <w:tcPr>
            <w:tcBorders>
              <w:top w:val="none" w:color="000000" w:sz="0"/>
              <w:left w:val="none" w:color="000000" w:sz="0"/>
              <w:bottom w:val="none" w:color="000000" w:sz="0"/>
              <w:right w:val="none" w:color="000000" w:sz="0"/>
            </w:tcBorders>
            <w:vAlign w:val="top"/>
          </w:tcPr>
          <w:p>
            <w:r>
              <w:t xml:space="preserve">Refer to Inpatient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Outcome/Attendance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appointment records with an outcome code of ARV (Arrived) can be used to determine a </w:t>
            </w:r>
            <w:hyperlink w:history="true" r:id="R5dd9f7d50901492a">
              <w:r>
                <w:rPr>
                  <w:rStyle w:val="Hyperlink"/>
                </w:rPr>
                <w:t xml:space="preserve">non-admitted patient service event</w:t>
              </w:r>
            </w:hyperlink>
            <w:r>
              <w:rPr>
                <w:rStyle w:val="row-content-rich-text"/>
              </w:rPr>
              <w:t xml:space="preserve">.</w:t>
            </w:r>
          </w:p>
          <w:p>
            <w:pPr/>
            <w:r>
              <w:rPr>
                <w:rStyle w:val="row-content-rich-text"/>
              </w:rPr>
              <w:t xml:space="preserve">All other outcome codes indicate that the appointment is not a 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e6ae51febf49c3">
              <w:r>
                <w:rPr>
                  <w:rStyle w:val="Hyperlink"/>
                </w:rPr>
                <w:t xml:space="preserve">Appointment—appointment outcome,  code AAA</w:t>
              </w:r>
            </w:hyperlink>
          </w:p>
          <w:p>
            <w:pPr>
              <w:pStyle w:val="registration-status"/>
              <w:spacing w:before="0" w:after="0"/>
            </w:pPr>
            <w:hyperlink w:history="true" r:id="R7a77c90900b34d1c">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e747fbc8de48d1">
              <w:r>
                <w:rPr>
                  <w:rStyle w:val="Hyperlink"/>
                </w:rPr>
                <w:t xml:space="preserve">WA Health Non-Admitted Patient Activity and Wait List Data Collection (NAPAAWL DC) 2013-14</w:t>
              </w:r>
            </w:hyperlink>
          </w:p>
          <w:p>
            <w:pPr>
              <w:pStyle w:val="registration-status"/>
              <w:spacing w:before="0" w:after="0"/>
            </w:pPr>
            <w:hyperlink w:history="true" r:id="Rd7e33a38107b44ca">
              <w:r>
                <w:rPr>
                  <w:rStyle w:val="Hyperlink"/>
                  <w:color w:val="244061"/>
                </w:rPr>
                <w:t xml:space="preserve">WA Health</w:t>
              </w:r>
            </w:hyperlink>
            <w:r>
              <w:rPr>
                <w:rStyle w:val="row-content"/>
                <w:color w:val="244061"/>
              </w:rPr>
              <w:t xml:space="preserve">, Standard 19/03/2015</w:t>
            </w:r>
          </w:p>
          <w:p>
            <w:r>
              <w:br/>
            </w:r>
            <w:hyperlink w:history="true" r:id="R16ae1b3dcf374610">
              <w:r>
                <w:rPr>
                  <w:rStyle w:val="Hyperlink"/>
                </w:rPr>
                <w:t xml:space="preserve">WA Health Non-Admitted Patient Activity and Wait List Data Collection (NAPAAWL DC) 2014-15</w:t>
              </w:r>
            </w:hyperlink>
          </w:p>
          <w:p>
            <w:pPr>
              <w:pStyle w:val="registration-status"/>
              <w:spacing w:before="0" w:after="0"/>
            </w:pPr>
            <w:hyperlink w:history="true" r:id="Rfd0c4102bd6740d5">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2a1c2462bc8b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75d0f86c3344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c2462bc8b45fb" /><Relationship Type="http://schemas.openxmlformats.org/officeDocument/2006/relationships/header" Target="/word/header1.xml" Id="R0103158247a64b3f" /><Relationship Type="http://schemas.openxmlformats.org/officeDocument/2006/relationships/settings" Target="/word/settings.xml" Id="Rf90919428df7422e" /><Relationship Type="http://schemas.openxmlformats.org/officeDocument/2006/relationships/styles" Target="/word/styles.xml" Id="R00570b1a167c4692" /><Relationship Type="http://schemas.openxmlformats.org/officeDocument/2006/relationships/hyperlink" Target="https://meteor-uat.aihw.gov.au/RegistrationAuthority/5" TargetMode="External" Id="Rf9286c62c827456d" /><Relationship Type="http://schemas.openxmlformats.org/officeDocument/2006/relationships/hyperlink" Target="https://meteor-uat.aihw.gov.au/content/509379" TargetMode="External" Id="R4606d5159dd64d77" /><Relationship Type="http://schemas.openxmlformats.org/officeDocument/2006/relationships/hyperlink" Target="https://meteor-uat.aihw.gov.au/content/509374" TargetMode="External" Id="Re3681481ac8d477f" /><Relationship Type="http://schemas.openxmlformats.org/officeDocument/2006/relationships/hyperlink" Target="https://meteor-uat.aihw.gov.au/content/400604" TargetMode="External" Id="R5dd9f7d50901492a" /><Relationship Type="http://schemas.openxmlformats.org/officeDocument/2006/relationships/hyperlink" Target="https://meteor-uat.aihw.gov.au/content/607118" TargetMode="External" Id="R3ee6ae51febf49c3" /><Relationship Type="http://schemas.openxmlformats.org/officeDocument/2006/relationships/hyperlink" Target="https://meteor-uat.aihw.gov.au/RegistrationAuthority/5" TargetMode="External" Id="R7a77c90900b34d1c" /><Relationship Type="http://schemas.openxmlformats.org/officeDocument/2006/relationships/hyperlink" Target="https://meteor-uat.aihw.gov.au/content/490816" TargetMode="External" Id="R04e747fbc8de48d1" /><Relationship Type="http://schemas.openxmlformats.org/officeDocument/2006/relationships/hyperlink" Target="https://meteor-uat.aihw.gov.au/RegistrationAuthority/5" TargetMode="External" Id="Rd7e33a38107b44ca" /><Relationship Type="http://schemas.openxmlformats.org/officeDocument/2006/relationships/hyperlink" Target="https://meteor-uat.aihw.gov.au/content/605977" TargetMode="External" Id="R16ae1b3dcf374610" /><Relationship Type="http://schemas.openxmlformats.org/officeDocument/2006/relationships/hyperlink" Target="https://meteor-uat.aihw.gov.au/RegistrationAuthority/5" TargetMode="External" Id="Rfd0c4102bd6740d5" /></Relationships>
</file>

<file path=word/_rels/header1.xml.rels>&#65279;<?xml version="1.0" encoding="utf-8"?><Relationships xmlns="http://schemas.openxmlformats.org/package/2006/relationships"><Relationship Type="http://schemas.openxmlformats.org/officeDocument/2006/relationships/image" Target="/media/image.png" Id="R4175d0f86c334467" /></Relationships>
</file>