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0b302c7e144c4f"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disability flag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disability flag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70d316c394462e">
              <w:r>
                <w:rPr>
                  <w:rStyle w:val="Hyperlink"/>
                  <w:color w:val="244061"/>
                </w:rPr>
                <w:t xml:space="preserve">Housing assistance</w:t>
              </w:r>
            </w:hyperlink>
            <w:r>
              <w:rPr>
                <w:rStyle w:val="row-content"/>
                <w:color w:val="244061"/>
              </w:rPr>
              <w:t xml:space="preserve">, Standard 01/05/2013</w:t>
            </w:r>
          </w:p>
          <w:p>
            <w:pPr>
              <w:spacing w:before="0" w:after="0"/>
            </w:pPr>
            <w:hyperlink w:history="true" r:id="R271475e556454c19">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Specialist Homeless Services NMDS, these data elements are used together to assess the functional status of a person across a range of life areas.</w:t>
            </w:r>
          </w:p>
          <w:p>
            <w:pPr>
              <w:spacing w:after="160"/>
            </w:pPr>
            <w:r>
              <w:rPr>
                <w:rStyle w:val="row-content-rich-text"/>
              </w:rPr>
              <w:t xml:space="preserve">The cluster combines the two data elements: </w:t>
            </w:r>
            <w:r>
              <w:rPr>
                <w:rStyle w:val="row-content-rich-text"/>
                <w:i/>
              </w:rPr>
              <w:t xml:space="preserve">Person—activity and participation life area, disability flag homelessness code N</w:t>
            </w:r>
            <w:r>
              <w:rPr>
                <w:rStyle w:val="row-content-rich-text"/>
              </w:rPr>
              <w:t xml:space="preserve"> and </w:t>
            </w:r>
            <w:r>
              <w:rPr>
                <w:rStyle w:val="row-content-rich-text"/>
                <w:i/>
              </w:rPr>
              <w:t xml:space="preserve">Person—need for assistance with activities in a life area, disability flag homelessness code N</w:t>
            </w:r>
            <w:r>
              <w:rPr>
                <w:rStyle w:val="row-content-rich-text"/>
              </w:rPr>
              <w:t xml:space="preserve">, to complete the following matrix:</w:t>
            </w:r>
          </w:p>
          <w:p>
            <w:pPr>
              <w:spacing w:after="160"/>
            </w:pPr>
            <w:r>
              <w:rPr>
                <w:rStyle w:val="row-content-rich-text"/>
              </w:rPr>
              <w:t xml:space="preserve"> </w:t>
            </w:r>
          </w:p>
          <w:tbl>
            <w:tblPr>
              <w:tblStyle w:val="TableGrid"/>
              <w:tblW w:w="5000" w:type="pct"/>
              <w:tblLayout w:type="autofit"/>
            </w:tblPr>
            <w:tblGrid>
              <w:gridCol/>
              <w:gridCol/>
              <w:gridCol/>
              <w:gridCol/>
              <w:gridCol/>
            </w:tblGrid>
            <w:tr>
              <w:trPr/>
              <w:tc>
                <w:tcPr>
                  <w:tcW w:w="750" w:type="pct"/>
                  <w:vAlign w:val="top"/>
                </w:tcPr>
                <w:p>
                  <w:pPr/>
                  <w:r>
                    <w:rPr>
                      <w:rStyle w:val="row-content-rich-text"/>
                    </w:rPr>
                    <w:t xml:space="preserve"> </w:t>
                  </w:r>
                </w:p>
              </w:tc>
              <w:tc>
                <w:tcPr>
                  <w:tcW w:w="1200" w:type="pct"/>
                  <w:vAlign w:val="top"/>
                </w:tcPr>
                <w:p>
                  <w:r>
                    <w:t xml:space="preserve">Always/ sometimes need help and/or supervision</w:t>
                  </w:r>
                </w:p>
              </w:tc>
              <w:tc>
                <w:tcPr>
                  <w:tcW w:w="1250" w:type="pct"/>
                  <w:vAlign w:val="top"/>
                </w:tcPr>
                <w:p>
                  <w:r>
                    <w:t xml:space="preserve">Have difficulty, but don't need help/supervision</w:t>
                  </w:r>
                </w:p>
              </w:tc>
              <w:tc>
                <w:tcPr>
                  <w:tcW w:w="1200" w:type="pct"/>
                  <w:vAlign w:val="top"/>
                </w:tcPr>
                <w:p>
                  <w:r>
                    <w:t xml:space="preserve">Don't have difficulty, but use aids/equipment</w:t>
                  </w:r>
                </w:p>
              </w:tc>
              <w:tc>
                <w:tcPr>
                  <w:tcW w:w="500" w:type="pct"/>
                  <w:vAlign w:val="top"/>
                </w:tcPr>
                <w:p>
                  <w:r>
                    <w:t xml:space="preserve">Have no difficulty</w:t>
                  </w:r>
                </w:p>
              </w:tc>
            </w:tr>
            <w:tr>
              <w:trPr/>
              <w:tc>
                <w:tcPr>
                  <w:tcW w:w="750" w:type="pct"/>
                  <w:vAlign w:val="top"/>
                </w:tcPr>
                <w:p>
                  <w:r>
                    <w:t xml:space="preserve">Self-care</w:t>
                  </w:r>
                </w:p>
              </w:tc>
              <w:tc>
                <w:tcPr>
                  <w:tcW w:w="1200" w:type="pct"/>
                  <w:vAlign w:val="top"/>
                </w:tcPr>
                <w:p>
                  <w:r>
                    <w:t xml:space="preserve"> </w:t>
                  </w:r>
                </w:p>
              </w:tc>
              <w:tc>
                <w:tcPr>
                  <w:tcW w:w="1250" w:type="pct"/>
                  <w:vAlign w:val="top"/>
                </w:tcPr>
                <w:p>
                  <w:r>
                    <w:t xml:space="preserve"> </w:t>
                  </w:r>
                </w:p>
              </w:tc>
              <w:tc>
                <w:tcPr>
                  <w:tcW w:w="1200" w:type="pct"/>
                  <w:vAlign w:val="top"/>
                </w:tcPr>
                <w:p>
                  <w:r>
                    <w:t xml:space="preserve"> </w:t>
                  </w:r>
                </w:p>
              </w:tc>
              <w:tc>
                <w:tcPr>
                  <w:tcW w:w="500" w:type="pct"/>
                  <w:vAlign w:val="top"/>
                </w:tcPr>
                <w:p>
                  <w:r>
                    <w:t xml:space="preserve"> </w:t>
                  </w:r>
                </w:p>
              </w:tc>
            </w:tr>
            <w:tr>
              <w:trPr/>
              <w:tc>
                <w:tcPr>
                  <w:tcW w:w="750" w:type="pct"/>
                  <w:vAlign w:val="top"/>
                </w:tcPr>
                <w:p>
                  <w:r>
                    <w:t xml:space="preserve">Mobility</w:t>
                  </w:r>
                </w:p>
              </w:tc>
              <w:tc>
                <w:tcPr>
                  <w:tcW w:w="1200" w:type="pct"/>
                  <w:vAlign w:val="top"/>
                </w:tcPr>
                <w:p>
                  <w:r>
                    <w:t xml:space="preserve"> </w:t>
                  </w:r>
                </w:p>
              </w:tc>
              <w:tc>
                <w:tcPr>
                  <w:tcW w:w="1250" w:type="pct"/>
                  <w:vAlign w:val="top"/>
                </w:tcPr>
                <w:p>
                  <w:r>
                    <w:t xml:space="preserve"> </w:t>
                  </w:r>
                </w:p>
              </w:tc>
              <w:tc>
                <w:tcPr>
                  <w:tcW w:w="1200" w:type="pct"/>
                  <w:vAlign w:val="top"/>
                </w:tcPr>
                <w:p>
                  <w:r>
                    <w:t xml:space="preserve"> </w:t>
                  </w:r>
                </w:p>
              </w:tc>
              <w:tc>
                <w:tcPr>
                  <w:tcW w:w="500" w:type="pct"/>
                  <w:vAlign w:val="top"/>
                </w:tcPr>
                <w:p>
                  <w:r>
                    <w:t xml:space="preserve"> </w:t>
                  </w:r>
                </w:p>
              </w:tc>
            </w:tr>
            <w:tr>
              <w:trPr/>
              <w:tc>
                <w:tcPr>
                  <w:tcW w:w="750" w:type="pct"/>
                  <w:vAlign w:val="top"/>
                </w:tcPr>
                <w:p>
                  <w:r>
                    <w:t xml:space="preserve">Communication</w:t>
                  </w:r>
                </w:p>
              </w:tc>
              <w:tc>
                <w:tcPr>
                  <w:tcW w:w="1200" w:type="pct"/>
                  <w:vAlign w:val="top"/>
                </w:tcPr>
                <w:p>
                  <w:r>
                    <w:t xml:space="preserve"> </w:t>
                  </w:r>
                </w:p>
              </w:tc>
              <w:tc>
                <w:tcPr>
                  <w:tcW w:w="1250" w:type="pct"/>
                  <w:vAlign w:val="top"/>
                </w:tcPr>
                <w:p>
                  <w:r>
                    <w:t xml:space="preserve"> </w:t>
                  </w:r>
                </w:p>
              </w:tc>
              <w:tc>
                <w:tcPr>
                  <w:tcW w:w="1200" w:type="pct"/>
                  <w:vAlign w:val="top"/>
                </w:tcPr>
                <w:p>
                  <w:r>
                    <w:t xml:space="preserve"> </w:t>
                  </w:r>
                </w:p>
              </w:tc>
              <w:tc>
                <w:tcPr>
                  <w:tcW w:w="500" w:type="pct"/>
                  <w:vAlign w:val="top"/>
                </w:tcPr>
                <w:p>
                  <w:r>
                    <w:t xml:space="preserve"> </w:t>
                  </w:r>
                </w:p>
              </w:tc>
            </w:tr>
          </w:tbl>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expected that the data elements in this cluster will be used to collect information from the individual being assessed, or a proxy/carer or service worker answering on their behalf. The responses are phrased in answer to the question 'For each of the following activities, do you need help/supervision, have difficulty, or use aids/equipment? (choose one answer for each row)'.</w:t>
            </w:r>
          </w:p>
          <w:p>
            <w:pPr>
              <w:spacing w:after="160"/>
            </w:pPr>
            <w:r>
              <w:rPr>
                <w:rStyle w:val="row-content-rich-text"/>
              </w:rPr>
              <w:t xml:space="preserve">Also required is the following preamble to the question:</w:t>
            </w:r>
          </w:p>
          <w:p>
            <w:pPr/>
            <w:r>
              <w:rPr>
                <w:rStyle w:val="row-content-rich-text"/>
              </w:rPr>
              <w:t xml:space="preserve">'The next question is about whether a long-term health condition or disability restricts your everyday activities. A long-term health condition is one that has lasted, or is expected to last, 6 months or more. Examples of long-term health conditions that might restrict your everyday activities include severe asthma, epilepsy, hearing loss, arthritis, depression, autism, kidney disease, chronic pain, speech impairment, stroke.'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a9000a3b7814dba">
              <w:r>
                <w:rPr>
                  <w:rStyle w:val="Hyperlink"/>
                </w:rPr>
                <w:t xml:space="preserve">Specialist Homelessness Services disability flag cluster</w:t>
              </w:r>
            </w:hyperlink>
          </w:p>
          <w:p>
            <w:pPr>
              <w:pStyle w:val="registration-status"/>
              <w:spacing w:before="0" w:after="0"/>
            </w:pPr>
            <w:hyperlink w:history="true" r:id="Rb7e7ea8278844fce">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27ef8e4d984f0a">
              <w:r>
                <w:rPr>
                  <w:rStyle w:val="Hyperlink"/>
                </w:rPr>
                <w:t xml:space="preserve">Specialist Homelessness Services NMDS 2013-14</w:t>
              </w:r>
            </w:hyperlink>
          </w:p>
          <w:p>
            <w:pPr>
              <w:pStyle w:val="registration-status"/>
              <w:spacing w:before="0" w:after="0"/>
            </w:pPr>
            <w:hyperlink w:history="true" r:id="Rfe53e8005fd84445">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93eb053a7159428a">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at presentation.</w:t>
            </w:r>
          </w:p>
          <w:p>
            <w:r>
              <w:br/>
            </w:r>
            <w:r>
              <w:br/>
            </w:r>
            <w:hyperlink w:history="true" r:id="Rec1710017d6e4aad">
              <w:r>
                <w:rPr>
                  <w:rStyle w:val="Hyperlink"/>
                </w:rPr>
                <w:t xml:space="preserve">Specialist Homelessness Services NMDS 2014-15</w:t>
              </w:r>
            </w:hyperlink>
          </w:p>
          <w:p>
            <w:pPr>
              <w:pStyle w:val="registration-status"/>
              <w:spacing w:before="0" w:after="0"/>
            </w:pPr>
            <w:hyperlink w:history="true" r:id="R5f909f53cb33450d">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4b11d2dc5e104f5b">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at presentation.</w:t>
            </w:r>
          </w:p>
          <w:p>
            <w:r>
              <w:br/>
            </w:r>
            <w:r>
              <w:br/>
            </w:r>
            <w:hyperlink w:history="true" r:id="Rfa735c1cadfe4542">
              <w:r>
                <w:rPr>
                  <w:rStyle w:val="Hyperlink"/>
                </w:rPr>
                <w:t xml:space="preserve">Specialist Homelessness Services NMDS 2015-17</w:t>
              </w:r>
            </w:hyperlink>
          </w:p>
          <w:p>
            <w:pPr>
              <w:pStyle w:val="registration-status"/>
              <w:spacing w:before="0" w:after="0"/>
            </w:pPr>
            <w:hyperlink w:history="true" r:id="Rc9ef981413a3403c">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at presentation.</w:t>
            </w:r>
          </w:p>
          <w:p>
            <w:r>
              <w:br/>
            </w:r>
            <w:r>
              <w:br/>
            </w:r>
            <w:hyperlink w:history="true" r:id="R45800ccb603b4667">
              <w:r>
                <w:rPr>
                  <w:rStyle w:val="Hyperlink"/>
                </w:rPr>
                <w:t xml:space="preserve">Specialist Homelessness Services NMDS 2017-19</w:t>
              </w:r>
            </w:hyperlink>
          </w:p>
          <w:p>
            <w:pPr>
              <w:pStyle w:val="registration-status"/>
              <w:spacing w:before="0" w:after="0"/>
            </w:pPr>
            <w:hyperlink w:history="true" r:id="R2da51c3644ca4c57">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at presentation.</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3c2fa941074d6d">
                    <w:r>
                      <w:rPr>
                        <w:rStyle w:val="Hyperlink"/>
                      </w:rPr>
                      <w:t xml:space="preserve">Person—activity and participation life area, disability flag homelessness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3db94cb0274973">
                    <w:r>
                      <w:rPr>
                        <w:rStyle w:val="Hyperlink"/>
                      </w:rPr>
                      <w:t xml:space="preserve">Person—need for assistance with activities in a life area, disability flag homelessness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21626abe1ba49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509290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98e7e5f32f45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1626abe1ba495b" /><Relationship Type="http://schemas.openxmlformats.org/officeDocument/2006/relationships/header" Target="/word/header1.xml" Id="R37f5dfef58464b46" /><Relationship Type="http://schemas.openxmlformats.org/officeDocument/2006/relationships/settings" Target="/word/settings.xml" Id="R8e540211ac264bd9" /><Relationship Type="http://schemas.openxmlformats.org/officeDocument/2006/relationships/styles" Target="/word/styles.xml" Id="R8d664117bd994ff5" /><Relationship Type="http://schemas.openxmlformats.org/officeDocument/2006/relationships/hyperlink" Target="https://meteor-uat.aihw.gov.au/RegistrationAuthority/13" TargetMode="External" Id="Rf570d316c394462e" /><Relationship Type="http://schemas.openxmlformats.org/officeDocument/2006/relationships/hyperlink" Target="https://meteor-uat.aihw.gov.au/RegistrationAuthority/16" TargetMode="External" Id="R271475e556454c19" /><Relationship Type="http://schemas.openxmlformats.org/officeDocument/2006/relationships/hyperlink" Target="https://meteor-uat.aihw.gov.au/content/689072" TargetMode="External" Id="Raa9000a3b7814dba" /><Relationship Type="http://schemas.openxmlformats.org/officeDocument/2006/relationships/hyperlink" Target="https://meteor-uat.aihw.gov.au/RegistrationAuthority/16" TargetMode="External" Id="Rb7e7ea8278844fce" /><Relationship Type="http://schemas.openxmlformats.org/officeDocument/2006/relationships/hyperlink" Target="https://meteor-uat.aihw.gov.au/content/505626" TargetMode="External" Id="R4827ef8e4d984f0a" /><Relationship Type="http://schemas.openxmlformats.org/officeDocument/2006/relationships/hyperlink" Target="https://meteor-uat.aihw.gov.au/RegistrationAuthority/16" TargetMode="External" Id="Rfe53e8005fd84445" /><Relationship Type="http://schemas.openxmlformats.org/officeDocument/2006/relationships/hyperlink" Target="https://meteor-uat.aihw.gov.au/RegistrationAuthority/13" TargetMode="External" Id="R93eb053a7159428a" /><Relationship Type="http://schemas.openxmlformats.org/officeDocument/2006/relationships/hyperlink" Target="https://meteor-uat.aihw.gov.au/content/581255" TargetMode="External" Id="Rec1710017d6e4aad" /><Relationship Type="http://schemas.openxmlformats.org/officeDocument/2006/relationships/hyperlink" Target="https://meteor-uat.aihw.gov.au/RegistrationAuthority/16" TargetMode="External" Id="R5f909f53cb33450d" /><Relationship Type="http://schemas.openxmlformats.org/officeDocument/2006/relationships/hyperlink" Target="https://meteor-uat.aihw.gov.au/RegistrationAuthority/13" TargetMode="External" Id="R4b11d2dc5e104f5b" /><Relationship Type="http://schemas.openxmlformats.org/officeDocument/2006/relationships/hyperlink" Target="https://meteor-uat.aihw.gov.au/content/658005" TargetMode="External" Id="Rfa735c1cadfe4542" /><Relationship Type="http://schemas.openxmlformats.org/officeDocument/2006/relationships/hyperlink" Target="https://meteor-uat.aihw.gov.au/RegistrationAuthority/16" TargetMode="External" Id="Rc9ef981413a3403c" /><Relationship Type="http://schemas.openxmlformats.org/officeDocument/2006/relationships/hyperlink" Target="https://meteor-uat.aihw.gov.au/content/650006" TargetMode="External" Id="R45800ccb603b4667" /><Relationship Type="http://schemas.openxmlformats.org/officeDocument/2006/relationships/hyperlink" Target="https://meteor-uat.aihw.gov.au/RegistrationAuthority/16" TargetMode="External" Id="R2da51c3644ca4c57" /><Relationship Type="http://schemas.openxmlformats.org/officeDocument/2006/relationships/hyperlink" Target="https://meteor-uat.aihw.gov.au/content/509302" TargetMode="External" Id="Rcf3c2fa941074d6d" /><Relationship Type="http://schemas.openxmlformats.org/officeDocument/2006/relationships/hyperlink" Target="https://meteor-uat.aihw.gov.au/content/509295" TargetMode="External" Id="R233db94cb0274973" /></Relationships>
</file>

<file path=word/_rels/header1.xml.rels>&#65279;<?xml version="1.0" encoding="utf-8"?><Relationships xmlns="http://schemas.openxmlformats.org/package/2006/relationships"><Relationship Type="http://schemas.openxmlformats.org/officeDocument/2006/relationships/image" Target="/media/image.png" Id="R7298e7e5f32f4517" /></Relationships>
</file>