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4aa489fe8843cc"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accommodation type and start/end date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accommodation type and start/end date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9e5915af94b19">
              <w:r>
                <w:rPr>
                  <w:rStyle w:val="Hyperlink"/>
                  <w:color w:val="244061"/>
                </w:rPr>
                <w:t xml:space="preserve">Housing assistance</w:t>
              </w:r>
            </w:hyperlink>
            <w:r>
              <w:rPr>
                <w:rStyle w:val="row-content"/>
                <w:color w:val="244061"/>
              </w:rPr>
              <w:t xml:space="preserve">, Standard 01/05/2013</w:t>
            </w:r>
          </w:p>
          <w:p>
            <w:pPr>
              <w:spacing w:before="0" w:after="0"/>
            </w:pPr>
            <w:hyperlink w:history="true" r:id="R8355b364506e4be4">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accommodation type and start/end date cluster captures information on the accommodation provided to a client during a collection month.</w:t>
            </w:r>
          </w:p>
          <w:p>
            <w:pPr>
              <w:spacing w:after="160"/>
            </w:pPr>
            <w:r>
              <w:rPr>
                <w:rStyle w:val="row-content-rich-text"/>
              </w:rPr>
              <w:t xml:space="preserve">The cluster collects:</w:t>
            </w:r>
          </w:p>
          <w:p>
            <w:pPr>
              <w:pStyle w:val="ListParagraph"/>
              <w:numPr>
                <w:ilvl w:val="0"/>
                <w:numId w:val="2"/>
              </w:numPr>
            </w:pPr>
            <w:r>
              <w:rPr>
                <w:rStyle w:val="row-content-rich-text"/>
              </w:rPr>
              <w:t xml:space="preserve">the type of accommodation (e.g. short term/emergency, medium term/transitional, or long term) the client was provided</w:t>
            </w:r>
          </w:p>
          <w:p>
            <w:pPr>
              <w:pStyle w:val="ListParagraph"/>
              <w:numPr>
                <w:ilvl w:val="0"/>
                <w:numId w:val="2"/>
              </w:numPr>
            </w:pPr>
            <w:r>
              <w:rPr>
                <w:rStyle w:val="row-content-rich-text"/>
              </w:rPr>
              <w:t xml:space="preserve">the date the accommodation period commenced (record the date in the format DDMMYYYY)</w:t>
            </w:r>
          </w:p>
          <w:p>
            <w:pPr>
              <w:pStyle w:val="ListParagraph"/>
              <w:numPr>
                <w:ilvl w:val="0"/>
                <w:numId w:val="2"/>
              </w:numPr>
            </w:pPr>
            <w:r>
              <w:rPr>
                <w:rStyle w:val="row-content-rich-text"/>
              </w:rPr>
              <w:t xml:space="preserve">the date the accommodation period ceased (record the date in the format DDMMYYYY).</w:t>
            </w:r>
          </w:p>
          <w:p>
            <w:pPr>
              <w:spacing w:after="160"/>
            </w:pPr>
            <w:r>
              <w:rPr>
                <w:rStyle w:val="row-content-rich-text"/>
                <w:b/>
              </w:rPr>
              <w:t xml:space="preserve">Table 1: Accommodation types by date</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tblGrid>
            <w:tr>
              <w:trPr/>
              <w:tc>
                <w:tcPr>
                  <w:tcW w:w="1250" w:type="pct"/>
                  <w:vMerge w:val="restart"/>
                  <w:vAlign w:val="top"/>
                </w:tcPr>
                <w:p>
                  <w:pPr/>
                  <w:r>
                    <w:rPr>
                      <w:rStyle w:val="row-content-rich-text"/>
                    </w:rPr>
                    <w:t xml:space="preserve"> </w:t>
                  </w:r>
                </w:p>
              </w:tc>
              <w:tc>
                <w:tcPr>
                  <w:tcW w:w="1250" w:type="pct"/>
                  <w:gridSpan w:val="15"/>
                  <w:vAlign w:val="top"/>
                </w:tcPr>
                <w:p>
                  <w:r>
                    <w:t xml:space="preserve">Accommodation calendar dates</w:t>
                  </w:r>
                </w:p>
              </w:tc>
            </w:tr>
            <w:tr>
              <w:trPr/>
              <w:tc>
                <w:tcPr>
                  <w:tcW w:w="1250" w:type="pct"/>
                  <w:vMerge/>
                </w:tcPr>
                <w:p/>
              </w:tc>
              <w:tc>
                <w:tcPr>
                  <w:tcW w:w="1250" w:type="pct"/>
                  <w:vAlign w:val="top"/>
                </w:tcPr>
                <w:p>
                  <w:r>
                    <w:t xml:space="preserve">1</w:t>
                  </w:r>
                </w:p>
              </w:tc>
              <w:tc>
                <w:tcPr>
                  <w:tcW w:w="150" w:type="pct"/>
                  <w:vAlign w:val="top"/>
                </w:tcPr>
                <w:p>
                  <w:r>
                    <w:t xml:space="preserve">2</w:t>
                  </w:r>
                </w:p>
              </w:tc>
              <w:tc>
                <w:tcPr>
                  <w:tcW w:w="150" w:type="pct"/>
                  <w:vAlign w:val="top"/>
                </w:tcPr>
                <w:p>
                  <w:r>
                    <w:t xml:space="preserve">3</w:t>
                  </w:r>
                </w:p>
              </w:tc>
              <w:tc>
                <w:tcPr>
                  <w:tcW w:w="150" w:type="pct"/>
                  <w:vAlign w:val="top"/>
                </w:tcPr>
                <w:p>
                  <w:r>
                    <w:t xml:space="preserve">4</w:t>
                  </w:r>
                </w:p>
              </w:tc>
              <w:tc>
                <w:tcPr>
                  <w:tcW w:w="150" w:type="pct"/>
                  <w:vAlign w:val="top"/>
                </w:tcPr>
                <w:p>
                  <w:r>
                    <w:t xml:space="preserve">5</w:t>
                  </w:r>
                </w:p>
              </w:tc>
              <w:tc>
                <w:tcPr>
                  <w:tcW w:w="150" w:type="pct"/>
                  <w:vAlign w:val="top"/>
                </w:tcPr>
                <w:p>
                  <w:r>
                    <w:t xml:space="preserve">6</w:t>
                  </w:r>
                </w:p>
              </w:tc>
              <w:tc>
                <w:tcPr>
                  <w:tcW w:w="150" w:type="pct"/>
                  <w:vAlign w:val="top"/>
                </w:tcPr>
                <w:p>
                  <w:r>
                    <w:t xml:space="preserve">7</w:t>
                  </w:r>
                </w:p>
              </w:tc>
              <w:tc>
                <w:tcPr>
                  <w:tcW w:w="150" w:type="pct"/>
                  <w:vAlign w:val="top"/>
                </w:tcPr>
                <w:p>
                  <w:r>
                    <w:t xml:space="preserve">8</w:t>
                  </w:r>
                </w:p>
              </w:tc>
              <w:tc>
                <w:tcPr>
                  <w:tcW w:w="150" w:type="pct"/>
                  <w:vAlign w:val="top"/>
                </w:tcPr>
                <w:p>
                  <w:r>
                    <w:t xml:space="preserve">9</w:t>
                  </w:r>
                </w:p>
              </w:tc>
              <w:tc>
                <w:tcPr>
                  <w:tcW w:w="150" w:type="pct"/>
                  <w:vAlign w:val="top"/>
                </w:tcPr>
                <w:p>
                  <w:r>
                    <w:t xml:space="preserve">10</w:t>
                  </w:r>
                </w:p>
              </w:tc>
              <w:tc>
                <w:tcPr>
                  <w:tcW w:w="150" w:type="pct"/>
                  <w:vAlign w:val="top"/>
                </w:tcPr>
                <w:p>
                  <w:r>
                    <w:t xml:space="preserve">11</w:t>
                  </w:r>
                </w:p>
              </w:tc>
              <w:tc>
                <w:tcPr>
                  <w:tcW w:w="150" w:type="pct"/>
                  <w:vAlign w:val="top"/>
                </w:tcPr>
                <w:p>
                  <w:r>
                    <w:t xml:space="preserve">12</w:t>
                  </w:r>
                </w:p>
              </w:tc>
              <w:tc>
                <w:tcPr>
                  <w:tcW w:w="150" w:type="pct"/>
                  <w:vAlign w:val="top"/>
                </w:tcPr>
                <w:p>
                  <w:r>
                    <w:t xml:space="preserve">13</w:t>
                  </w:r>
                </w:p>
              </w:tc>
              <w:tc>
                <w:tcPr>
                  <w:tcW w:w="150" w:type="pct"/>
                  <w:vAlign w:val="top"/>
                </w:tcPr>
                <w:p>
                  <w:r>
                    <w:t xml:space="preserve">14</w:t>
                  </w:r>
                </w:p>
              </w:tc>
              <w:tc>
                <w:tcPr>
                  <w:tcW w:w="250" w:type="pct"/>
                  <w:vAlign w:val="top"/>
                </w:tcPr>
                <w:p>
                  <w:r>
                    <w:t xml:space="preserve">Etc.</w:t>
                  </w:r>
                </w:p>
              </w:tc>
            </w:tr>
            <w:tr>
              <w:trPr/>
              <w:tc>
                <w:tcPr>
                  <w:tcW w:w="1250" w:type="pct"/>
                  <w:vAlign w:val="top"/>
                </w:tcPr>
                <w:p>
                  <w:r>
                    <w:t xml:space="preserve">Short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Medium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Long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accommodation should be recorded for each night. If a client is marked down as staying in two different types of accommodation for the same date, it will be recorded as an error.</w:t>
            </w:r>
          </w:p>
          <w:p>
            <w:pPr/>
            <w:r>
              <w:rPr>
                <w:rStyle w:val="row-content-rich-text"/>
              </w:rPr>
              <w:t xml:space="preserve">If a client crosses the whole month check box, the first of the month should be recorded as the start date, and the last valid calendar day for that month should be recorded as the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10/12/2012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c4cd4dc85744b4">
              <w:r>
                <w:rPr>
                  <w:rStyle w:val="Hyperlink"/>
                </w:rPr>
                <w:t xml:space="preserve">Specialist Homelessness Services accommodation type and start/end date cluster</w:t>
              </w:r>
            </w:hyperlink>
          </w:p>
          <w:p>
            <w:pPr>
              <w:pStyle w:val="registration-status"/>
              <w:spacing w:before="0" w:after="0"/>
            </w:pPr>
            <w:hyperlink w:history="true" r:id="R01bb21c16cb1440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adaca1fe3b4096">
              <w:r>
                <w:rPr>
                  <w:rStyle w:val="Hyperlink"/>
                </w:rPr>
                <w:t xml:space="preserve">Specialist Homelessness Services NMDS 2013-14</w:t>
              </w:r>
            </w:hyperlink>
          </w:p>
          <w:p>
            <w:pPr>
              <w:pStyle w:val="registration-status"/>
              <w:spacing w:before="0" w:after="0"/>
            </w:pPr>
            <w:hyperlink w:history="true" r:id="R177d00eebbaf4011">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c5a587b8c321439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3a486a00d1164acb">
              <w:r>
                <w:rPr>
                  <w:rStyle w:val="Hyperlink"/>
                </w:rPr>
                <w:t xml:space="preserve">Specialist Homelessness Services NMDS 2014-15</w:t>
              </w:r>
            </w:hyperlink>
          </w:p>
          <w:p>
            <w:pPr>
              <w:pStyle w:val="registration-status"/>
              <w:spacing w:before="0" w:after="0"/>
            </w:pPr>
            <w:hyperlink w:history="true" r:id="Rccd46deab6b0442c">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f6ce2143df5b435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8e5d011cb96a4419">
              <w:r>
                <w:rPr>
                  <w:rStyle w:val="Hyperlink"/>
                </w:rPr>
                <w:t xml:space="preserve">Specialist Homelessness Services NMDS 2015-17</w:t>
              </w:r>
            </w:hyperlink>
          </w:p>
          <w:p>
            <w:pPr>
              <w:pStyle w:val="registration-status"/>
              <w:spacing w:before="0" w:after="0"/>
            </w:pPr>
            <w:hyperlink w:history="true" r:id="Rdaaac22a11244fe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1031ed5d63c54ed1">
              <w:r>
                <w:rPr>
                  <w:rStyle w:val="Hyperlink"/>
                </w:rPr>
                <w:t xml:space="preserve">Specialist Homelessness Services NMDS 2017-19</w:t>
              </w:r>
            </w:hyperlink>
          </w:p>
          <w:p>
            <w:pPr>
              <w:pStyle w:val="registration-status"/>
              <w:spacing w:before="0" w:after="0"/>
            </w:pPr>
            <w:hyperlink w:history="true" r:id="Rb80ecfd8fd0a491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0776c8604443f">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dee1dc1c1d4962">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cf3ebf0fa40a4">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13c3843185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5235415b4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3c3843185490b" /><Relationship Type="http://schemas.openxmlformats.org/officeDocument/2006/relationships/header" Target="/word/header1.xml" Id="Rd2d96f0334e644f7" /><Relationship Type="http://schemas.openxmlformats.org/officeDocument/2006/relationships/settings" Target="/word/settings.xml" Id="R0197de4749594fbb" /><Relationship Type="http://schemas.openxmlformats.org/officeDocument/2006/relationships/styles" Target="/word/styles.xml" Id="Rd0c12ac5dd5d4c7f" /><Relationship Type="http://schemas.openxmlformats.org/officeDocument/2006/relationships/numbering" Target="/word/numbering.xml" Id="R0ea8bd85c6ed48da" /><Relationship Type="http://schemas.openxmlformats.org/officeDocument/2006/relationships/hyperlink" Target="https://meteor-uat.aihw.gov.au/RegistrationAuthority/13" TargetMode="External" Id="Rd2b9e5915af94b19" /><Relationship Type="http://schemas.openxmlformats.org/officeDocument/2006/relationships/hyperlink" Target="https://meteor-uat.aihw.gov.au/RegistrationAuthority/16" TargetMode="External" Id="R8355b364506e4be4" /><Relationship Type="http://schemas.openxmlformats.org/officeDocument/2006/relationships/hyperlink" Target="https://meteor-uat.aihw.gov.au/content/689319" TargetMode="External" Id="Re1c4cd4dc85744b4" /><Relationship Type="http://schemas.openxmlformats.org/officeDocument/2006/relationships/hyperlink" Target="https://meteor-uat.aihw.gov.au/RegistrationAuthority/16" TargetMode="External" Id="R01bb21c16cb14403" /><Relationship Type="http://schemas.openxmlformats.org/officeDocument/2006/relationships/hyperlink" Target="https://meteor-uat.aihw.gov.au/content/505626" TargetMode="External" Id="R1aadaca1fe3b4096" /><Relationship Type="http://schemas.openxmlformats.org/officeDocument/2006/relationships/hyperlink" Target="https://meteor-uat.aihw.gov.au/RegistrationAuthority/16" TargetMode="External" Id="R177d00eebbaf4011" /><Relationship Type="http://schemas.openxmlformats.org/officeDocument/2006/relationships/hyperlink" Target="https://meteor-uat.aihw.gov.au/RegistrationAuthority/13" TargetMode="External" Id="Rc5a587b8c3214398" /><Relationship Type="http://schemas.openxmlformats.org/officeDocument/2006/relationships/hyperlink" Target="https://meteor-uat.aihw.gov.au/content/581255" TargetMode="External" Id="R3a486a00d1164acb" /><Relationship Type="http://schemas.openxmlformats.org/officeDocument/2006/relationships/hyperlink" Target="https://meteor-uat.aihw.gov.au/RegistrationAuthority/16" TargetMode="External" Id="Rccd46deab6b0442c" /><Relationship Type="http://schemas.openxmlformats.org/officeDocument/2006/relationships/hyperlink" Target="https://meteor-uat.aihw.gov.au/RegistrationAuthority/13" TargetMode="External" Id="Rf6ce2143df5b4357" /><Relationship Type="http://schemas.openxmlformats.org/officeDocument/2006/relationships/hyperlink" Target="https://meteor-uat.aihw.gov.au/content/658005" TargetMode="External" Id="R8e5d011cb96a4419" /><Relationship Type="http://schemas.openxmlformats.org/officeDocument/2006/relationships/hyperlink" Target="https://meteor-uat.aihw.gov.au/RegistrationAuthority/16" TargetMode="External" Id="Rdaaac22a11244fed" /><Relationship Type="http://schemas.openxmlformats.org/officeDocument/2006/relationships/hyperlink" Target="https://meteor-uat.aihw.gov.au/content/650006" TargetMode="External" Id="R1031ed5d63c54ed1" /><Relationship Type="http://schemas.openxmlformats.org/officeDocument/2006/relationships/hyperlink" Target="https://meteor-uat.aihw.gov.au/RegistrationAuthority/16" TargetMode="External" Id="Rb80ecfd8fd0a4912" /><Relationship Type="http://schemas.openxmlformats.org/officeDocument/2006/relationships/hyperlink" Target="https://meteor-uat.aihw.gov.au/content/347334" TargetMode="External" Id="R05b0776c8604443f" /><Relationship Type="http://schemas.openxmlformats.org/officeDocument/2006/relationships/hyperlink" Target="https://meteor-uat.aihw.gov.au/content/348138" TargetMode="External" Id="R8edee1dc1c1d4962" /><Relationship Type="http://schemas.openxmlformats.org/officeDocument/2006/relationships/hyperlink" Target="https://meteor-uat.aihw.gov.au/content/399396" TargetMode="External" Id="Rf02cf3ebf0fa40a4" /></Relationships>
</file>

<file path=word/_rels/header1.xml.rels>&#65279;<?xml version="1.0" encoding="utf-8"?><Relationships xmlns="http://schemas.openxmlformats.org/package/2006/relationships"><Relationship Type="http://schemas.openxmlformats.org/officeDocument/2006/relationships/image" Target="/media/image.png" Id="R5045235415b447fc" /></Relationships>
</file>