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9e718187a144fc"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816eea67b4be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75b4805a46c4f11">
              <w:r>
                <w:rPr>
                  <w:rStyle w:val="Hyperlink"/>
                  <w:color w:val="244061"/>
                </w:rPr>
                <w:t xml:space="preserve">Housing assistance</w:t>
              </w:r>
            </w:hyperlink>
            <w:r>
              <w:rPr>
                <w:rStyle w:val="row-content"/>
                <w:color w:val="244061"/>
              </w:rPr>
              <w:t xml:space="preserve">, Standard 01/05/2013</w:t>
            </w:r>
          </w:p>
          <w:p>
            <w:pPr>
              <w:spacing w:before="0" w:after="0"/>
            </w:pPr>
            <w:hyperlink w:history="true" r:id="R7969ba189e5841fd">
              <w:r>
                <w:rPr>
                  <w:rStyle w:val="Hyperlink"/>
                  <w:color w:val="244061"/>
                </w:rPr>
                <w:t xml:space="preserve">Disability</w:t>
              </w:r>
            </w:hyperlink>
            <w:r>
              <w:rPr>
                <w:rStyle w:val="row-content"/>
                <w:color w:val="244061"/>
              </w:rPr>
              <w:t xml:space="preserve">, Standard 13/08/2015</w:t>
            </w:r>
          </w:p>
          <w:p>
            <w:pPr>
              <w:spacing w:before="0" w:after="0"/>
            </w:pPr>
            <w:hyperlink w:history="true" r:id="Ra5c42f82822c427f">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cash income,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78070679ae442b">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218f25996437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f6ac5a98920408f">
              <w:r>
                <w:rPr>
                  <w:rStyle w:val="Hyperlink"/>
                  <w:color w:val="244061"/>
                </w:rPr>
                <w:t xml:space="preserve">Housing assistance</w:t>
              </w:r>
            </w:hyperlink>
            <w:r>
              <w:rPr>
                <w:rStyle w:val="row-content"/>
                <w:color w:val="244061"/>
              </w:rPr>
              <w:t xml:space="preserve">, Standard 01/05/2013</w:t>
            </w:r>
          </w:p>
          <w:p>
            <w:pPr>
              <w:spacing w:before="0" w:after="0"/>
            </w:pPr>
            <w:hyperlink w:history="true" r:id="R33a11cd223104266">
              <w:r>
                <w:rPr>
                  <w:rStyle w:val="Hyperlink"/>
                  <w:color w:val="244061"/>
                </w:rPr>
                <w:t xml:space="preserve">Homelessness</w:t>
              </w:r>
            </w:hyperlink>
            <w:r>
              <w:rPr>
                <w:rStyle w:val="row-content"/>
                <w:color w:val="244061"/>
              </w:rPr>
              <w:t xml:space="preserve">, Standard 01/05/2013</w:t>
            </w:r>
          </w:p>
          <w:p>
            <w:pPr>
              <w:spacing w:before="0" w:after="0"/>
            </w:pPr>
            <w:hyperlink w:history="true" r:id="Rc0b7e186e912408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d69538b8fc422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554af3dc62480a">
              <w:r>
                <w:rPr>
                  <w:rStyle w:val="Hyperlink"/>
                </w:rPr>
                <w:t xml:space="preserve">Principal source of cash income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b7977ea64f47d0">
              <w:r>
                <w:rPr>
                  <w:rStyle w:val="Hyperlink"/>
                </w:rPr>
                <w:t xml:space="preserve">Sources of income code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9d6d61466548b5">
              <w:r>
                <w:rPr>
                  <w:rStyle w:val="Hyperlink"/>
                  <w:color w:val="244061"/>
                </w:rPr>
                <w:t xml:space="preserve">Housing assistance</w:t>
              </w:r>
            </w:hyperlink>
            <w:r>
              <w:rPr>
                <w:rStyle w:val="row-content"/>
                <w:color w:val="244061"/>
              </w:rPr>
              <w:t xml:space="preserve">, Standard 23/08/2010</w:t>
            </w:r>
          </w:p>
          <w:p>
            <w:pPr>
              <w:spacing w:before="0" w:after="0"/>
            </w:pPr>
            <w:hyperlink w:history="true" r:id="Rfd6929cf3fc94bb9">
              <w:r>
                <w:rPr>
                  <w:rStyle w:val="Hyperlink"/>
                  <w:color w:val="244061"/>
                </w:rPr>
                <w:t xml:space="preserve">Homelessness</w:t>
              </w:r>
            </w:hyperlink>
            <w:r>
              <w:rPr>
                <w:rStyle w:val="row-content"/>
                <w:color w:val="244061"/>
              </w:rPr>
              <w:t xml:space="preserve">, Standard 23/08/2010</w:t>
            </w:r>
          </w:p>
          <w:p>
            <w:pPr>
              <w:spacing w:before="0" w:after="0"/>
            </w:pPr>
            <w:hyperlink w:history="true" r:id="R8bfec92c2fce496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7d62a735818454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sources of income.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851d586d3a84714">
              <w:r>
                <w:rPr>
                  <w:rStyle w:val="Hyperlink"/>
                </w:rPr>
                <w:t xml:space="preserve">Australian Classification for Source of Income 2010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0df3116e0f404849">
              <w:r>
                <w:rPr>
                  <w:rStyle w:val="Hyperlink"/>
                </w:rPr>
                <w:t xml:space="preserve">Standards for Social, Labour and Demographic Variables</w:t>
              </w:r>
            </w:hyperlink>
            <w:r>
              <w:rPr>
                <w:rStyle w:val="row-content-rich-text"/>
              </w:rPr>
              <w:t xml:space="preserve">. Viewed 3 November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25d2c37c8c4c45">
              <w:r>
                <w:rPr>
                  <w:rStyle w:val="Hyperlink"/>
                </w:rPr>
                <w:t xml:space="preserve">Person—principal source of cash income, code NNNN</w:t>
              </w:r>
            </w:hyperlink>
          </w:p>
          <w:p>
            <w:pPr>
              <w:pStyle w:val="registration-status"/>
              <w:spacing w:before="0" w:after="0"/>
            </w:pPr>
            <w:hyperlink w:history="true" r:id="Rec4718a4399e4d6b">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b55e2800764ace">
              <w:r>
                <w:rPr>
                  <w:rStyle w:val="Hyperlink"/>
                </w:rPr>
                <w:t xml:space="preserve">Disability services carer details cluster</w:t>
              </w:r>
            </w:hyperlink>
          </w:p>
          <w:p>
            <w:pPr>
              <w:pStyle w:val="registration-status"/>
              <w:spacing w:before="0" w:after="0"/>
            </w:pPr>
            <w:hyperlink w:history="true" r:id="Rfbd8dd0ec5264bd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23666a8d62d4790">
              <w:r>
                <w:rPr>
                  <w:rStyle w:val="Hyperlink"/>
                  <w:color w:val="244061"/>
                </w:rPr>
                <w:t xml:space="preserve">Disability</w:t>
              </w:r>
            </w:hyperlink>
            <w:r>
              <w:rPr>
                <w:rStyle w:val="row-content"/>
                <w:color w:val="244061"/>
              </w:rPr>
              <w:t xml:space="preserve">, Standard 13/08/2015</w:t>
            </w:r>
          </w:p>
          <w:p>
            <w:r>
              <w:br/>
            </w:r>
            <w:hyperlink w:history="true" r:id="R29a4ebcba40c4921">
              <w:r>
                <w:rPr>
                  <w:rStyle w:val="Hyperlink"/>
                </w:rPr>
                <w:t xml:space="preserve">Disability services client details cluster</w:t>
              </w:r>
            </w:hyperlink>
          </w:p>
          <w:p>
            <w:pPr>
              <w:pStyle w:val="registration-status"/>
              <w:spacing w:before="0" w:after="0"/>
            </w:pPr>
            <w:hyperlink w:history="true" r:id="Rae30ae13fdb7411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e5911e1f8134bf8">
              <w:r>
                <w:rPr>
                  <w:rStyle w:val="Hyperlink"/>
                  <w:color w:val="244061"/>
                </w:rPr>
                <w:t xml:space="preserve">Disability</w:t>
              </w:r>
            </w:hyperlink>
            <w:r>
              <w:rPr>
                <w:rStyle w:val="row-content"/>
                <w:color w:val="244061"/>
              </w:rPr>
              <w:t xml:space="preserve">, Standard 13/08/2015</w:t>
            </w:r>
          </w:p>
          <w:p>
            <w:r>
              <w:br/>
            </w:r>
            <w:hyperlink w:history="true" r:id="R2e4f5885cf8d4b6b">
              <w:r>
                <w:rPr>
                  <w:rStyle w:val="Hyperlink"/>
                </w:rPr>
                <w:t xml:space="preserve">Specialist Homelessness Services NMDS 2013-14</w:t>
              </w:r>
            </w:hyperlink>
          </w:p>
          <w:p>
            <w:pPr>
              <w:pStyle w:val="registration-status"/>
              <w:spacing w:before="0" w:after="0"/>
            </w:pPr>
            <w:hyperlink w:history="true" r:id="Rb0184f0a16b54fa0">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d577d29333b040aa">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is reflects the ABS Sources of income standard variable. Consequently, the value domain definitions explicitly exclude anyone aged under 15. </w:t>
            </w:r>
          </w:p>
          <w:p>
            <w:r>
              <w:rPr>
                <w:rStyle w:val="row-content"/>
              </w:rP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w:t>
            </w:r>
          </w:p>
          <w:p>
            <w:pPr>
              <w:pStyle w:val="ListParagraph"/>
              <w:numPr>
                <w:ilvl w:val="0"/>
                <w:numId w:val="2"/>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rPr>
                <w:rStyle w:val="row-content"/>
              </w:rPr>
              <w:t xml:space="preserve">For the purposes of the SHS collection the following list is used which aggregates to the ABS Sources of Income Classification.</w:t>
            </w:r>
          </w:p>
          <w:p>
            <w:r>
              <w:rPr>
                <w:rStyle w:val="row-content"/>
                <w:b/>
              </w:rPr>
              <w:t xml:space="preserve">Government pensions and allowances</w:t>
            </w:r>
          </w:p>
          <w:p>
            <w:r>
              <w:rPr>
                <w:rStyle w:val="row-content"/>
              </w:rPr>
              <w:t xml:space="preserve">Newstart Allowance</w:t>
            </w:r>
          </w:p>
          <w:p>
            <w:r>
              <w:rPr>
                <w:rStyle w:val="row-content"/>
              </w:rPr>
              <w:t xml:space="preserve">Parenting Payment</w:t>
            </w:r>
          </w:p>
          <w:p>
            <w:r>
              <w:rPr>
                <w:rStyle w:val="row-content"/>
              </w:rPr>
              <w:t xml:space="preserve">Disability support pension (Centrelink)</w:t>
            </w:r>
          </w:p>
          <w:p>
            <w:r>
              <w:rPr>
                <w:rStyle w:val="row-content"/>
              </w:rPr>
              <w:t xml:space="preserve">Youth allowance</w:t>
            </w:r>
          </w:p>
          <w:p>
            <w:r>
              <w:rPr>
                <w:rStyle w:val="row-content"/>
              </w:rPr>
              <w:t xml:space="preserve">Age pension</w:t>
            </w:r>
          </w:p>
          <w:p>
            <w:r>
              <w:rPr>
                <w:rStyle w:val="row-content"/>
              </w:rPr>
              <w:t xml:space="preserve">Austudy/ABSTUDY</w:t>
            </w:r>
          </w:p>
          <w:p>
            <w:r>
              <w:rPr>
                <w:rStyle w:val="row-content"/>
              </w:rPr>
              <w:t xml:space="preserve">Disability Pension (DVA)</w:t>
            </w:r>
          </w:p>
          <w:p>
            <w:r>
              <w:rPr>
                <w:rStyle w:val="row-content"/>
              </w:rPr>
              <w:t xml:space="preserve">Service pension (DVA)</w:t>
            </w:r>
          </w:p>
          <w:p>
            <w:r>
              <w:rPr>
                <w:rStyle w:val="row-content"/>
              </w:rPr>
              <w:t xml:space="preserve">War Widow(er)'s Pension (Including income support supplement) (DVA)</w:t>
            </w:r>
          </w:p>
          <w:p>
            <w:r>
              <w:rPr>
                <w:rStyle w:val="row-content"/>
              </w:rPr>
              <w:t xml:space="preserve">Sickness allowance</w:t>
            </w:r>
          </w:p>
          <w:p>
            <w:r>
              <w:rPr>
                <w:rStyle w:val="row-content"/>
              </w:rPr>
              <w:t xml:space="preserve">Carer Allowance</w:t>
            </w:r>
          </w:p>
          <w:p>
            <w:r>
              <w:rPr>
                <w:rStyle w:val="row-content"/>
              </w:rPr>
              <w:t xml:space="preserve">Carer Payment</w:t>
            </w:r>
          </w:p>
          <w:p>
            <w:r>
              <w:rPr>
                <w:rStyle w:val="row-content"/>
              </w:rPr>
              <w:t xml:space="preserve">Other government pensions and allowances</w:t>
            </w:r>
          </w:p>
          <w:p>
            <w:r>
              <w:rPr>
                <w:rStyle w:val="row-content"/>
                <w:b/>
              </w:rPr>
              <w:t xml:space="preserve">Other sources of income</w:t>
            </w:r>
          </w:p>
          <w:p>
            <w:r>
              <w:rPr>
                <w:rStyle w:val="row-content"/>
              </w:rPr>
              <w:t xml:space="preserve">Employee income</w:t>
            </w:r>
          </w:p>
          <w:p>
            <w:r>
              <w:rPr>
                <w:rStyle w:val="row-content"/>
              </w:rPr>
              <w:t xml:space="preserve">Unincorporated business income</w:t>
            </w:r>
          </w:p>
          <w:p>
            <w:r>
              <w:rPr>
                <w:rStyle w:val="row-content"/>
              </w:rPr>
              <w:t xml:space="preserve">Other income nec</w:t>
            </w:r>
          </w:p>
          <w:p>
            <w:r>
              <w:rPr>
                <w:rStyle w:val="row-content"/>
              </w:rPr>
              <w:t xml:space="preserve">Nil income</w:t>
            </w:r>
          </w:p>
          <w:p>
            <w:r>
              <w:rPr>
                <w:rStyle w:val="row-content"/>
              </w:rPr>
              <w:t xml:space="preserve">Not stated/not known/inadequately described </w:t>
            </w:r>
          </w:p>
          <w:p>
            <w:r>
              <w:br/>
            </w:r>
            <w:r>
              <w:br/>
            </w:r>
            <w:hyperlink w:history="true" r:id="R2f650345fca74287">
              <w:r>
                <w:rPr>
                  <w:rStyle w:val="Hyperlink"/>
                </w:rPr>
                <w:t xml:space="preserve">Specialist Homelessness Services NMDS 2014-15</w:t>
              </w:r>
            </w:hyperlink>
          </w:p>
          <w:p>
            <w:pPr>
              <w:pStyle w:val="registration-status"/>
              <w:spacing w:before="0" w:after="0"/>
            </w:pPr>
            <w:hyperlink w:history="true" r:id="R5d2a651298454086">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87ac1ad38cc4439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Sources of income standard variable. Consequently, the value domain definitions explicitly exclude anyone aged under 15. </w:t>
            </w:r>
          </w:p>
          <w:p>
            <w:r>
              <w:rPr>
                <w:rStyle w:val="row-content"/>
              </w:rP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w:t>
            </w:r>
          </w:p>
          <w:p>
            <w:pPr>
              <w:pStyle w:val="ListParagraph"/>
              <w:numPr>
                <w:ilvl w:val="0"/>
                <w:numId w:val="3"/>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rPr>
                <w:rStyle w:val="row-content"/>
              </w:rPr>
              <w:t xml:space="preserve">For the purposes of the SHS collection the following list is used which aggregates to the ABS Sources of Income Classification.</w:t>
            </w:r>
          </w:p>
          <w:p>
            <w:r>
              <w:rPr>
                <w:rStyle w:val="row-content"/>
                <w:b/>
              </w:rPr>
              <w:t xml:space="preserve">Government pensions and allowances</w:t>
            </w:r>
          </w:p>
          <w:p>
            <w:r>
              <w:rPr>
                <w:rStyle w:val="row-content"/>
              </w:rPr>
              <w:t xml:space="preserve">Newstart Allowance</w:t>
            </w:r>
          </w:p>
          <w:p>
            <w:r>
              <w:rPr>
                <w:rStyle w:val="row-content"/>
              </w:rPr>
              <w:t xml:space="preserve">Parenting Payment</w:t>
            </w:r>
          </w:p>
          <w:p>
            <w:r>
              <w:rPr>
                <w:rStyle w:val="row-content"/>
              </w:rPr>
              <w:t xml:space="preserve">Disability support pension (Centrelink)</w:t>
            </w:r>
          </w:p>
          <w:p>
            <w:r>
              <w:rPr>
                <w:rStyle w:val="row-content"/>
              </w:rPr>
              <w:t xml:space="preserve">Youth allowance</w:t>
            </w:r>
          </w:p>
          <w:p>
            <w:r>
              <w:rPr>
                <w:rStyle w:val="row-content"/>
              </w:rPr>
              <w:t xml:space="preserve">Age pension</w:t>
            </w:r>
          </w:p>
          <w:p>
            <w:r>
              <w:rPr>
                <w:rStyle w:val="row-content"/>
              </w:rPr>
              <w:t xml:space="preserve">Austudy/ABSTUDY</w:t>
            </w:r>
          </w:p>
          <w:p>
            <w:r>
              <w:rPr>
                <w:rStyle w:val="row-content"/>
              </w:rPr>
              <w:t xml:space="preserve">Disability Pension (DVA)</w:t>
            </w:r>
          </w:p>
          <w:p>
            <w:r>
              <w:rPr>
                <w:rStyle w:val="row-content"/>
              </w:rPr>
              <w:t xml:space="preserve">Service pension (DVA)</w:t>
            </w:r>
          </w:p>
          <w:p>
            <w:r>
              <w:rPr>
                <w:rStyle w:val="row-content"/>
              </w:rPr>
              <w:t xml:space="preserve">War Widow(er)'s Pension (Including income support supplement) (DVA)</w:t>
            </w:r>
          </w:p>
          <w:p>
            <w:r>
              <w:rPr>
                <w:rStyle w:val="row-content"/>
              </w:rPr>
              <w:t xml:space="preserve">Sickness allowance</w:t>
            </w:r>
          </w:p>
          <w:p>
            <w:r>
              <w:rPr>
                <w:rStyle w:val="row-content"/>
              </w:rPr>
              <w:t xml:space="preserve">Carer Allowance</w:t>
            </w:r>
          </w:p>
          <w:p>
            <w:r>
              <w:rPr>
                <w:rStyle w:val="row-content"/>
              </w:rPr>
              <w:t xml:space="preserve">Carer Payment</w:t>
            </w:r>
          </w:p>
          <w:p>
            <w:r>
              <w:rPr>
                <w:rStyle w:val="row-content"/>
              </w:rPr>
              <w:t xml:space="preserve">Other government pensions and allowances</w:t>
            </w:r>
          </w:p>
          <w:p>
            <w:r>
              <w:rPr>
                <w:rStyle w:val="row-content"/>
                <w:b/>
              </w:rPr>
              <w:t xml:space="preserve">Other sources of income</w:t>
            </w:r>
          </w:p>
          <w:p>
            <w:r>
              <w:rPr>
                <w:rStyle w:val="row-content"/>
              </w:rPr>
              <w:t xml:space="preserve">Employee income</w:t>
            </w:r>
          </w:p>
          <w:p>
            <w:r>
              <w:rPr>
                <w:rStyle w:val="row-content"/>
              </w:rPr>
              <w:t xml:space="preserve">Unincorporated business income</w:t>
            </w:r>
          </w:p>
          <w:p>
            <w:r>
              <w:rPr>
                <w:rStyle w:val="row-content"/>
              </w:rPr>
              <w:t xml:space="preserve">Other income nec</w:t>
            </w:r>
          </w:p>
          <w:p>
            <w:r>
              <w:rPr>
                <w:rStyle w:val="row-content"/>
              </w:rPr>
              <w:t xml:space="preserve">Nil income</w:t>
            </w:r>
          </w:p>
          <w:p>
            <w:r>
              <w:rPr>
                <w:rStyle w:val="row-content"/>
              </w:rPr>
              <w:t xml:space="preserve">Not stated/not known/inadequately described </w:t>
            </w:r>
          </w:p>
          <w:p>
            <w:r>
              <w:br/>
            </w:r>
            <w:r>
              <w:br/>
            </w:r>
            <w:hyperlink w:history="true" r:id="R984b3188175f4d0b">
              <w:r>
                <w:rPr>
                  <w:rStyle w:val="Hyperlink"/>
                </w:rPr>
                <w:t xml:space="preserve">Specialist Homelessness Services NMDS 2015-17</w:t>
              </w:r>
            </w:hyperlink>
          </w:p>
          <w:p>
            <w:pPr>
              <w:pStyle w:val="registration-status"/>
              <w:spacing w:before="0" w:after="0"/>
            </w:pPr>
            <w:hyperlink w:history="true" r:id="R074e51a8f5ef4141">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Sources of income standard variable. Consequently, the value domain definitions explicitly exclude anyone aged under 15.</w:t>
            </w:r>
          </w:p>
          <w:p>
            <w:r>
              <w:rPr>
                <w:rStyle w:val="row-content"/>
              </w:rP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For the purposes of the SHS collection the following list is used which aggregates to the ABS Sources of Income Classification.</w:t>
            </w:r>
          </w:p>
          <w:p>
            <w:r>
              <w:rPr>
                <w:rStyle w:val="row-content"/>
                <w:b/>
              </w:rPr>
              <w:t xml:space="preserve">Government pensions and allowances</w:t>
            </w:r>
          </w:p>
          <w:p>
            <w:r>
              <w:rPr>
                <w:rStyle w:val="row-content"/>
              </w:rPr>
              <w:t xml:space="preserve">Newstart Allowance</w:t>
            </w:r>
          </w:p>
          <w:p>
            <w:r>
              <w:rPr>
                <w:rStyle w:val="row-content"/>
              </w:rPr>
              <w:t xml:space="preserve">Parenting Payment</w:t>
            </w:r>
          </w:p>
          <w:p>
            <w:r>
              <w:rPr>
                <w:rStyle w:val="row-content"/>
              </w:rPr>
              <w:t xml:space="preserve">Disability support pension (Centrelink)</w:t>
            </w:r>
          </w:p>
          <w:p>
            <w:r>
              <w:rPr>
                <w:rStyle w:val="row-content"/>
              </w:rPr>
              <w:t xml:space="preserve">Youth allowance</w:t>
            </w:r>
          </w:p>
          <w:p>
            <w:r>
              <w:rPr>
                <w:rStyle w:val="row-content"/>
              </w:rPr>
              <w:t xml:space="preserve">Age pension</w:t>
            </w:r>
          </w:p>
          <w:p>
            <w:r>
              <w:rPr>
                <w:rStyle w:val="row-content"/>
              </w:rPr>
              <w:t xml:space="preserve">Austudy/ABSTUDY</w:t>
            </w:r>
          </w:p>
          <w:p>
            <w:r>
              <w:rPr>
                <w:rStyle w:val="row-content"/>
              </w:rPr>
              <w:t xml:space="preserve">Disability Pension (DVA)</w:t>
            </w:r>
          </w:p>
          <w:p>
            <w:r>
              <w:rPr>
                <w:rStyle w:val="row-content"/>
              </w:rPr>
              <w:t xml:space="preserve">Service pension (DVA)</w:t>
            </w:r>
          </w:p>
          <w:p>
            <w:r>
              <w:rPr>
                <w:rStyle w:val="row-content"/>
              </w:rPr>
              <w:t xml:space="preserve">War Widow(er)'s Pension (Including income support supplement) (DVA)</w:t>
            </w:r>
          </w:p>
          <w:p>
            <w:r>
              <w:rPr>
                <w:rStyle w:val="row-content"/>
              </w:rPr>
              <w:t xml:space="preserve">Sickness allowance</w:t>
            </w:r>
          </w:p>
          <w:p>
            <w:r>
              <w:rPr>
                <w:rStyle w:val="row-content"/>
              </w:rPr>
              <w:t xml:space="preserve">Carer Allowance</w:t>
            </w:r>
          </w:p>
          <w:p>
            <w:r>
              <w:rPr>
                <w:rStyle w:val="row-content"/>
              </w:rPr>
              <w:t xml:space="preserve">Carer Payment</w:t>
            </w:r>
          </w:p>
          <w:p>
            <w:r>
              <w:rPr>
                <w:rStyle w:val="row-content"/>
              </w:rPr>
              <w:t xml:space="preserve">Other government pensions and allowances</w:t>
            </w:r>
          </w:p>
          <w:p>
            <w:r>
              <w:rPr>
                <w:rStyle w:val="row-content"/>
                <w:b/>
              </w:rPr>
              <w:t xml:space="preserve">Other sources of income</w:t>
            </w:r>
          </w:p>
          <w:p>
            <w:r>
              <w:rPr>
                <w:rStyle w:val="row-content"/>
              </w:rPr>
              <w:t xml:space="preserve">Employee income</w:t>
            </w:r>
          </w:p>
          <w:p>
            <w:r>
              <w:rPr>
                <w:rStyle w:val="row-content"/>
              </w:rPr>
              <w:t xml:space="preserve">Unincorporated business income</w:t>
            </w:r>
          </w:p>
          <w:p>
            <w:r>
              <w:rPr>
                <w:rStyle w:val="row-content"/>
              </w:rPr>
              <w:t xml:space="preserve">Other income nec</w:t>
            </w:r>
          </w:p>
          <w:p>
            <w:r>
              <w:rPr>
                <w:rStyle w:val="row-content"/>
              </w:rPr>
              <w:t xml:space="preserve">Nil income</w:t>
            </w:r>
          </w:p>
          <w:p>
            <w:r>
              <w:rPr>
                <w:rStyle w:val="row-content"/>
              </w:rPr>
              <w:t xml:space="preserve">Not stated/not known/inadequately described</w:t>
            </w:r>
          </w:p>
          <w:p>
            <w:r>
              <w:br/>
            </w:r>
            <w:r>
              <w:br/>
            </w:r>
            <w:hyperlink w:history="true" r:id="R1fdc466c34894353">
              <w:r>
                <w:rPr>
                  <w:rStyle w:val="Hyperlink"/>
                </w:rPr>
                <w:t xml:space="preserve">Specialist Homelessness Services NMDS 2017-19</w:t>
              </w:r>
            </w:hyperlink>
          </w:p>
          <w:p>
            <w:pPr>
              <w:pStyle w:val="registration-status"/>
              <w:spacing w:before="0" w:after="0"/>
            </w:pPr>
            <w:hyperlink w:history="true" r:id="R39576b5149d6433b">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Australia Bureau of Statistics (ABS) Sources of income standard variable. Consequently, the value domain definitions explicitly exclude anyone aged under 15.</w:t>
            </w:r>
          </w:p>
          <w:p>
            <w:r>
              <w:rPr>
                <w:rStyle w:val="row-content"/>
              </w:rPr>
              <w:t xml:space="preserve">If income information on children under 15 years is sought for the Specialist Homelessness Services (SHS) NMDS, these persons may also be asked the sources of income questions. However, if comparability with ABS collections is required, the SHS data can be filtered using the age data element to remove responses for children aged under 15.</w:t>
            </w:r>
          </w:p>
          <w:p>
            <w:r>
              <w:br/>
            </w:r>
            <w:r>
              <w:rPr>
                <w:rStyle w:val="row-content"/>
                <w:b/>
                <w:i/>
              </w:rPr>
              <w:t xml:space="preserve">DSS specific information: </w:t>
            </w:r>
          </w:p>
          <w:p>
            <w:r>
              <w:rPr>
                <w:rStyle w:val="row-content"/>
              </w:rPr>
              <w:t xml:space="preserve">In the Specialist Homelessness Services (SHS) NMDS, this data element is collected four times, for the following points in time:</w:t>
            </w:r>
          </w:p>
          <w:p>
            <w:pPr>
              <w:pStyle w:val="ListParagraph"/>
              <w:numPr>
                <w:ilvl w:val="0"/>
                <w:numId w:val="5"/>
              </w:numPr>
            </w:pPr>
            <w:r>
              <w:rPr>
                <w:rStyle w:val="row-content"/>
              </w:rPr>
              <w:t xml:space="preserve">one week before the start of the support period (the </w:t>
            </w:r>
            <w:hyperlink w:history="true" r:id="Rff166912159e4ce3">
              <w:r>
                <w:rPr>
                  <w:rStyle w:val="Hyperlink"/>
                </w:rPr>
                <w:t xml:space="preserve">Service episode—episode start date, DDMMYYYY</w:t>
              </w:r>
            </w:hyperlink>
            <w:r>
              <w:rPr>
                <w:rStyle w:val="row-content"/>
              </w:rPr>
              <w:t xml:space="preserve">)</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w:t>
            </w:r>
            <w:hyperlink w:history="true" r:id="R1b149acc969b4fe4">
              <w:r>
                <w:rPr>
                  <w:rStyle w:val="Hyperlink"/>
                </w:rPr>
                <w:t xml:space="preserve">Service event—last service provision date, DDMMYYYY</w:t>
              </w:r>
            </w:hyperlink>
            <w:r>
              <w:rPr>
                <w:rStyle w:val="row-content"/>
              </w:rPr>
              <w:t xml:space="preserve">)</w:t>
            </w:r>
          </w:p>
          <w:p>
            <w:pPr>
              <w:pStyle w:val="ListParagraph"/>
              <w:numPr>
                <w:ilvl w:val="0"/>
                <w:numId w:val="5"/>
              </w:numPr>
            </w:pPr>
            <w:r>
              <w:rPr>
                <w:rStyle w:val="row-content"/>
              </w:rPr>
              <w:t xml:space="preserve">at the end of the support period (the </w:t>
            </w:r>
            <w:hyperlink w:history="true" r:id="Rd4ed37b9f3014689">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For the purposes of the SHS collection the following list is used which aggregates to the Australian Bureau of Statistics' Sources of Income Classification.</w:t>
            </w:r>
          </w:p>
          <w:p>
            <w:r>
              <w:rPr>
                <w:rStyle w:val="row-content"/>
                <w:b/>
              </w:rPr>
              <w:t xml:space="preserve">Government pensions and allowances</w:t>
            </w:r>
          </w:p>
          <w:p>
            <w:r>
              <w:rPr>
                <w:rStyle w:val="row-content"/>
              </w:rPr>
              <w:t xml:space="preserve">Newstart allowance</w:t>
            </w:r>
          </w:p>
          <w:p>
            <w:r>
              <w:rPr>
                <w:rStyle w:val="row-content"/>
              </w:rPr>
              <w:t xml:space="preserve">Parenting payment</w:t>
            </w:r>
          </w:p>
          <w:p>
            <w:r>
              <w:rPr>
                <w:rStyle w:val="row-content"/>
              </w:rPr>
              <w:t xml:space="preserve">Disability support pension (Centrelink)</w:t>
            </w:r>
          </w:p>
          <w:p>
            <w:r>
              <w:rPr>
                <w:rStyle w:val="row-content"/>
              </w:rPr>
              <w:t xml:space="preserve">Youth allowance</w:t>
            </w:r>
          </w:p>
          <w:p>
            <w:r>
              <w:rPr>
                <w:rStyle w:val="row-content"/>
              </w:rPr>
              <w:t xml:space="preserve">Age pension</w:t>
            </w:r>
          </w:p>
          <w:p>
            <w:r>
              <w:rPr>
                <w:rStyle w:val="row-content"/>
              </w:rPr>
              <w:t xml:space="preserve">Austudy/Abstudy</w:t>
            </w:r>
          </w:p>
          <w:p>
            <w:r>
              <w:rPr>
                <w:rStyle w:val="row-content"/>
              </w:rPr>
              <w:t xml:space="preserve">DVA pension or payment</w:t>
            </w:r>
          </w:p>
          <w:p>
            <w:r>
              <w:rPr>
                <w:rStyle w:val="row-content"/>
              </w:rPr>
              <w:t xml:space="preserve">Sickness allowance</w:t>
            </w:r>
          </w:p>
          <w:p>
            <w:r>
              <w:rPr>
                <w:rStyle w:val="row-content"/>
              </w:rPr>
              <w:t xml:space="preserve">Carer allowance</w:t>
            </w:r>
          </w:p>
          <w:p>
            <w:r>
              <w:rPr>
                <w:rStyle w:val="row-content"/>
              </w:rPr>
              <w:t xml:space="preserve">Carer payment</w:t>
            </w:r>
          </w:p>
          <w:p>
            <w:r>
              <w:rPr>
                <w:rStyle w:val="row-content"/>
              </w:rPr>
              <w:t xml:space="preserve">Other government pensions and allowances</w:t>
            </w:r>
          </w:p>
          <w:p>
            <w:r>
              <w:rPr>
                <w:rStyle w:val="row-content"/>
                <w:b/>
              </w:rPr>
              <w:t xml:space="preserve">Other sources of income</w:t>
            </w:r>
          </w:p>
          <w:p>
            <w:r>
              <w:rPr>
                <w:rStyle w:val="row-content"/>
              </w:rPr>
              <w:t xml:space="preserve">Employee income</w:t>
            </w:r>
          </w:p>
          <w:p>
            <w:r>
              <w:rPr>
                <w:rStyle w:val="row-content"/>
              </w:rPr>
              <w:t xml:space="preserve">Unincorporated business income</w:t>
            </w:r>
          </w:p>
          <w:p>
            <w:r>
              <w:rPr>
                <w:rStyle w:val="row-content"/>
              </w:rPr>
              <w:t xml:space="preserve">Other income nec</w:t>
            </w:r>
          </w:p>
          <w:p>
            <w:r>
              <w:rPr>
                <w:rStyle w:val="row-content"/>
              </w:rPr>
              <w:t xml:space="preserve">Nil income</w:t>
            </w:r>
          </w:p>
          <w:p>
            <w:r>
              <w:rPr>
                <w:rStyle w:val="row-content"/>
              </w:rPr>
              <w:t xml:space="preserve">Not stated/not known/inadequately described</w:t>
            </w:r>
          </w:p>
          <w:p>
            <w:r>
              <w:br/>
            </w:r>
            <w:r>
              <w:br/>
            </w:r>
          </w:p>
        </w:tc>
      </w:tr>
    </w:tbl>
    <w:p/>
    <w:tbl>
      <w:tblPr>
        <w:tblStyle w:val="TableGrid"/>
        <w:tblW w:w="0" w:type="auto"/>
      </w:tblPr>
    </w:tbl>
    <w:p>
      <w:r>
        <w:br/>
      </w:r>
    </w:p>
    <w:sectPr>
      <w:footerReference xmlns:r="http://schemas.openxmlformats.org/officeDocument/2006/relationships" w:type="default" r:id="R5212d2a1932343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34119cc804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12d2a19323437f" /><Relationship Type="http://schemas.openxmlformats.org/officeDocument/2006/relationships/header" Target="/word/header1.xml" Id="Rf067eb25adf34c74" /><Relationship Type="http://schemas.openxmlformats.org/officeDocument/2006/relationships/settings" Target="/word/settings.xml" Id="R7005bcf7f04c4059" /><Relationship Type="http://schemas.openxmlformats.org/officeDocument/2006/relationships/styles" Target="/word/styles.xml" Id="R1e0d630c76ec4937" /><Relationship Type="http://schemas.openxmlformats.org/officeDocument/2006/relationships/numbering" Target="/word/numbering.xml" Id="R811b8fb8c09f4a71" /><Relationship Type="http://schemas.openxmlformats.org/officeDocument/2006/relationships/hyperlink" Target="https://meteor-uat.aihw.gov.au/RegistrationAuthority/3" TargetMode="External" Id="R459816eea67b4be0" /><Relationship Type="http://schemas.openxmlformats.org/officeDocument/2006/relationships/hyperlink" Target="https://meteor-uat.aihw.gov.au/RegistrationAuthority/13" TargetMode="External" Id="Rd75b4805a46c4f11" /><Relationship Type="http://schemas.openxmlformats.org/officeDocument/2006/relationships/hyperlink" Target="https://meteor-uat.aihw.gov.au/RegistrationAuthority/18" TargetMode="External" Id="R7969ba189e5841fd" /><Relationship Type="http://schemas.openxmlformats.org/officeDocument/2006/relationships/hyperlink" Target="https://meteor-uat.aihw.gov.au/RegistrationAuthority/16" TargetMode="External" Id="Ra5c42f82822c427f" /><Relationship Type="http://schemas.openxmlformats.org/officeDocument/2006/relationships/hyperlink" Target="https://meteor-uat.aihw.gov.au/content/462231" TargetMode="External" Id="R1078070679ae442b" /><Relationship Type="http://schemas.openxmlformats.org/officeDocument/2006/relationships/hyperlink" Target="https://meteor-uat.aihw.gov.au/RegistrationAuthority/3" TargetMode="External" Id="Re94218f259964374" /><Relationship Type="http://schemas.openxmlformats.org/officeDocument/2006/relationships/hyperlink" Target="https://meteor-uat.aihw.gov.au/RegistrationAuthority/13" TargetMode="External" Id="R0f6ac5a98920408f" /><Relationship Type="http://schemas.openxmlformats.org/officeDocument/2006/relationships/hyperlink" Target="https://meteor-uat.aihw.gov.au/RegistrationAuthority/16" TargetMode="External" Id="R33a11cd223104266" /><Relationship Type="http://schemas.openxmlformats.org/officeDocument/2006/relationships/hyperlink" Target="https://meteor-uat.aihw.gov.au/RegistrationAuthority/18" TargetMode="External" Id="Rc0b7e186e9124085" /><Relationship Type="http://schemas.openxmlformats.org/officeDocument/2006/relationships/hyperlink" Target="https://meteor-uat.aihw.gov.au/content/268955" TargetMode="External" Id="R13d69538b8fc422c" /><Relationship Type="http://schemas.openxmlformats.org/officeDocument/2006/relationships/hyperlink" Target="https://meteor-uat.aihw.gov.au/content/462226" TargetMode="External" Id="R42554af3dc62480a" /><Relationship Type="http://schemas.openxmlformats.org/officeDocument/2006/relationships/hyperlink" Target="https://meteor-uat.aihw.gov.au/content/408149" TargetMode="External" Id="Radb7977ea64f47d0" /><Relationship Type="http://schemas.openxmlformats.org/officeDocument/2006/relationships/hyperlink" Target="https://meteor-uat.aihw.gov.au/RegistrationAuthority/13" TargetMode="External" Id="Rd79d6d61466548b5" /><Relationship Type="http://schemas.openxmlformats.org/officeDocument/2006/relationships/hyperlink" Target="https://meteor-uat.aihw.gov.au/RegistrationAuthority/16" TargetMode="External" Id="Rfd6929cf3fc94bb9" /><Relationship Type="http://schemas.openxmlformats.org/officeDocument/2006/relationships/hyperlink" Target="https://meteor-uat.aihw.gov.au/RegistrationAuthority/3" TargetMode="External" Id="R8bfec92c2fce4968" /><Relationship Type="http://schemas.openxmlformats.org/officeDocument/2006/relationships/hyperlink" Target="https://meteor-uat.aihw.gov.au/RegistrationAuthority/18" TargetMode="External" Id="Rd7d62a7358184547" /><Relationship Type="http://schemas.openxmlformats.org/officeDocument/2006/relationships/hyperlink" Target="https://meteor-uat.aihw.gov.au/content/412558" TargetMode="External" Id="R6851d586d3a84714" /><Relationship Type="http://schemas.openxmlformats.org/officeDocument/2006/relationships/hyperlink" Target="http://www.abs.gov.au/Ausstats/abs@.nsf/66f306f503e529a5ca25697e0017661f/5a4f5993d89c3a32ca256e620074d6c8!OpenDocument" TargetMode="External" Id="R0df3116e0f404849" /><Relationship Type="http://schemas.openxmlformats.org/officeDocument/2006/relationships/hyperlink" Target="https://meteor-uat.aihw.gov.au/content/692276" TargetMode="External" Id="Rdf25d2c37c8c4c45" /><Relationship Type="http://schemas.openxmlformats.org/officeDocument/2006/relationships/hyperlink" Target="https://meteor-uat.aihw.gov.au/RegistrationAuthority/16" TargetMode="External" Id="Rec4718a4399e4d6b" /><Relationship Type="http://schemas.openxmlformats.org/officeDocument/2006/relationships/hyperlink" Target="https://meteor-uat.aihw.gov.au/content/484552" TargetMode="External" Id="R40b55e2800764ace" /><Relationship Type="http://schemas.openxmlformats.org/officeDocument/2006/relationships/hyperlink" Target="https://meteor-uat.aihw.gov.au/RegistrationAuthority/3" TargetMode="External" Id="Rfbd8dd0ec5264bde" /><Relationship Type="http://schemas.openxmlformats.org/officeDocument/2006/relationships/hyperlink" Target="https://meteor-uat.aihw.gov.au/RegistrationAuthority/18" TargetMode="External" Id="R423666a8d62d4790" /><Relationship Type="http://schemas.openxmlformats.org/officeDocument/2006/relationships/hyperlink" Target="https://meteor-uat.aihw.gov.au/content/484543" TargetMode="External" Id="R29a4ebcba40c4921" /><Relationship Type="http://schemas.openxmlformats.org/officeDocument/2006/relationships/hyperlink" Target="https://meteor-uat.aihw.gov.au/RegistrationAuthority/3" TargetMode="External" Id="Rae30ae13fdb74110" /><Relationship Type="http://schemas.openxmlformats.org/officeDocument/2006/relationships/hyperlink" Target="https://meteor-uat.aihw.gov.au/RegistrationAuthority/18" TargetMode="External" Id="R7e5911e1f8134bf8" /><Relationship Type="http://schemas.openxmlformats.org/officeDocument/2006/relationships/hyperlink" Target="https://meteor-uat.aihw.gov.au/content/505626" TargetMode="External" Id="R2e4f5885cf8d4b6b" /><Relationship Type="http://schemas.openxmlformats.org/officeDocument/2006/relationships/hyperlink" Target="https://meteor-uat.aihw.gov.au/RegistrationAuthority/16" TargetMode="External" Id="Rb0184f0a16b54fa0" /><Relationship Type="http://schemas.openxmlformats.org/officeDocument/2006/relationships/hyperlink" Target="https://meteor-uat.aihw.gov.au/RegistrationAuthority/13" TargetMode="External" Id="Rd577d29333b040aa" /><Relationship Type="http://schemas.openxmlformats.org/officeDocument/2006/relationships/hyperlink" Target="https://meteor-uat.aihw.gov.au/content/581255" TargetMode="External" Id="R2f650345fca74287" /><Relationship Type="http://schemas.openxmlformats.org/officeDocument/2006/relationships/hyperlink" Target="https://meteor-uat.aihw.gov.au/RegistrationAuthority/16" TargetMode="External" Id="R5d2a651298454086" /><Relationship Type="http://schemas.openxmlformats.org/officeDocument/2006/relationships/hyperlink" Target="https://meteor-uat.aihw.gov.au/RegistrationAuthority/13" TargetMode="External" Id="R87ac1ad38cc44396" /><Relationship Type="http://schemas.openxmlformats.org/officeDocument/2006/relationships/hyperlink" Target="https://meteor-uat.aihw.gov.au/content/658005" TargetMode="External" Id="R984b3188175f4d0b" /><Relationship Type="http://schemas.openxmlformats.org/officeDocument/2006/relationships/hyperlink" Target="https://meteor-uat.aihw.gov.au/RegistrationAuthority/16" TargetMode="External" Id="R074e51a8f5ef4141" /><Relationship Type="http://schemas.openxmlformats.org/officeDocument/2006/relationships/hyperlink" Target="https://meteor-uat.aihw.gov.au/content/650006" TargetMode="External" Id="R1fdc466c34894353" /><Relationship Type="http://schemas.openxmlformats.org/officeDocument/2006/relationships/hyperlink" Target="https://meteor-uat.aihw.gov.au/RegistrationAuthority/16" TargetMode="External" Id="R39576b5149d6433b" /><Relationship Type="http://schemas.openxmlformats.org/officeDocument/2006/relationships/hyperlink" Target="https://meteor-uat.aihw.gov.au/content/338558" TargetMode="External" Id="Rff166912159e4ce3" /><Relationship Type="http://schemas.openxmlformats.org/officeDocument/2006/relationships/hyperlink" Target="https://meteor-uat.aihw.gov.au/content/323253" TargetMode="External" Id="R1b149acc969b4fe4" /><Relationship Type="http://schemas.openxmlformats.org/officeDocument/2006/relationships/hyperlink" Target="https://meteor-uat.aihw.gov.au/content/270160" TargetMode="External" Id="Rd4ed37b9f3014689" /></Relationships>
</file>

<file path=word/_rels/header1.xml.rels>&#65279;<?xml version="1.0" encoding="utf-8"?><Relationships xmlns="http://schemas.openxmlformats.org/package/2006/relationships"><Relationship Type="http://schemas.openxmlformats.org/officeDocument/2006/relationships/image" Target="/media/image.png" Id="R6e34119cc8044a19" /></Relationships>
</file>