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469d9a84a04ad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9b860cec848f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It is an interim indicator while validation work is underway. </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 </w:t>
            </w:r>
          </w:p>
          <w:p>
            <w:pPr>
              <w:pStyle w:val="ListParagraph"/>
              <w:numPr>
                <w:ilvl w:val="0"/>
                <w:numId w:val="2"/>
              </w:numPr>
            </w:pPr>
            <w:r>
              <w:rPr>
                <w:rStyle w:val="row-content-rich-text"/>
              </w:rPr>
              <w:t xml:space="preserve">Variations in key variables (particularly in transfer rates in hospitals) across jurisdictions indicate that the method of estimation may lead to an under-estimate of incidence in some jurisdictions and an over-estimate in others. The extent of this cannot be measured until the algorithm is validated. As a result, State and Territory estimates are not presented. </w:t>
            </w:r>
          </w:p>
          <w:p>
            <w:pPr>
              <w:pStyle w:val="ListParagraph"/>
              <w:numPr>
                <w:ilvl w:val="0"/>
                <w:numId w:val="2"/>
              </w:numPr>
            </w:pPr>
            <w:r>
              <w:rPr>
                <w:rStyle w:val="row-content-rich-text"/>
              </w:rPr>
              <w:t xml:space="preserve">The estimates shown in Table 9.1 for Indigenous and Other Australians and Total are derived using only data from the five jurisdictions where the quality of identification is considered reasonable in both the NHMD and the NMD (NSW, Qld, WA, SA and NT). The estimates provided in Table 9.2, by sex, are derived using data from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data extracted from the AIHW NHMD, the NMD and Australian Bureau of Statistics (ABS) population data.</w:t>
            </w:r>
          </w:p>
          <w:p>
            <w:pPr>
              <w:spacing w:after="160"/>
            </w:pPr>
            <w:r>
              <w:rPr>
                <w:rStyle w:val="row-content-rich-text"/>
              </w:rPr>
              <w:t xml:space="preserve">The AIHW is a major national agency set up by the Australian Government under the Australian </w:t>
            </w:r>
            <w:r>
              <w:rPr>
                <w:rStyle w:val="row-content-rich-text"/>
                <w:i/>
              </w:rPr>
              <w:t xml:space="preserve">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2b50b7d2727d422a">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reported for the years 2007 to 2010.</w:t>
            </w:r>
          </w:p>
          <w:p>
            <w:pPr/>
            <w:r>
              <w:rPr>
                <w:rStyle w:val="row-content-rich-text"/>
              </w:rPr>
              <w:t xml:space="preserve">The most recent data available in the NMD are for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pPr>
              <w:spacing w:after="160"/>
            </w:pPr>
            <w:r>
              <w:rPr>
                <w:rStyle w:val="row-content-rich-text"/>
              </w:rPr>
              <w:t xml:space="preserve">&lt;</w:t>
            </w:r>
            <w:hyperlink w:history="true" r:id="Rce560d42704a49ae">
              <w:r>
                <w:rPr>
                  <w:rStyle w:val="Hyperlink"/>
                </w:rPr>
                <w:t xml:space="preserve">http://www.aihw.gov.au/hospitals-data/</w:t>
              </w:r>
            </w:hyperlink>
            <w:r>
              <w:rPr>
                <w:rStyle w:val="row-content-rich-text"/>
              </w:rPr>
              <w:t xml:space="preserve">&gt;</w:t>
            </w:r>
          </w:p>
          <w:p>
            <w:pPr/>
            <w:r>
              <w:rPr>
                <w:rStyle w:val="row-content-rich-text"/>
              </w:rPr>
              <w:t xml:space="preserve">&lt;</w:t>
            </w:r>
            <w:hyperlink w:history="true" r:id="Re96245a5e56c4b00">
              <w:r>
                <w:rPr>
                  <w:rStyle w:val="Hyperlink"/>
                </w:rPr>
                <w:t xml:space="preserve">http://www.aihw.gov.au/deaths/</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NHMD</w:t>
            </w:r>
          </w:p>
          <w:p>
            <w:pPr>
              <w:spacing w:after="160"/>
            </w:pP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w:t>
            </w:r>
            <w:r>
              <w:rPr>
                <w:rStyle w:val="row-content-rich-text"/>
                <w:i/>
              </w:rPr>
              <w:t xml:space="preserve">National Health Information Agreement</w:t>
            </w:r>
            <w:r>
              <w:rPr>
                <w:rStyle w:val="row-content-rich-text"/>
              </w:rPr>
              <w:t xml:space="preserve">.</w:t>
            </w:r>
          </w:p>
          <w:p>
            <w:pPr>
              <w:spacing w:after="160"/>
            </w:pPr>
            <w:r>
              <w:rPr>
                <w:rStyle w:val="row-content-rich-text"/>
              </w:rPr>
              <w:t xml:space="preserve">The data quality statement for the AIHW National Hospital Morbidity Database can be found in Appendix 1 of </w:t>
            </w:r>
            <w:r>
              <w:rPr>
                <w:rStyle w:val="row-content-rich-text"/>
                <w:i/>
              </w:rPr>
              <w:t xml:space="preserve">Australian hospital statistics 2010-11</w:t>
            </w:r>
            <w:r>
              <w:rPr>
                <w:rStyle w:val="row-content-rich-text"/>
              </w:rPr>
              <w:t xml:space="preserve"> or at &lt;</w:t>
            </w:r>
            <w:hyperlink w:history="true" r:id="Rc605da9769d64250">
              <w:r>
                <w:rPr>
                  <w:rStyle w:val="Hyperlink"/>
                </w:rPr>
                <w:t xml:space="preserve">http://www.aihw.gov.au/WorkArea/DownloadAsset.aspx?id=10737421911</w:t>
              </w:r>
            </w:hyperlink>
            <w:r>
              <w:rPr>
                <w:rStyle w:val="row-content-rich-text"/>
              </w:rPr>
              <w:t xml:space="preserve">&gt;</w:t>
            </w:r>
          </w:p>
          <w:p>
            <w:pPr>
              <w:spacing w:after="160"/>
            </w:pPr>
            <w:r>
              <w:rPr>
                <w:rStyle w:val="row-content-rich-text"/>
                <w:u w:val="single"/>
              </w:rPr>
              <w:t xml:space="preserve">NMD</w:t>
            </w:r>
          </w:p>
          <w:p>
            <w:pPr>
              <w:spacing w:after="160"/>
            </w:pPr>
            <w:r>
              <w:rPr>
                <w:rStyle w:val="row-content-rich-text"/>
              </w:rPr>
              <w:t xml:space="preserve">The AIHW NMD contains cause of death information for all deaths registered in Australia. Information is provided to the AIHW by the Registrars of Births, Deaths and Marriages and coded nationally by the Australian Bureau of Statistics (ABS).</w:t>
            </w:r>
          </w:p>
          <w:p>
            <w:pPr>
              <w:spacing w:after="160"/>
            </w:pPr>
            <w:r>
              <w:rPr>
                <w:rStyle w:val="row-content-rich-text"/>
              </w:rPr>
              <w:t xml:space="preserve">The data quality statements for the AIHW National Mortality Database can be found in the following ABS publications:</w:t>
            </w:r>
          </w:p>
          <w:p>
            <w:pPr>
              <w:spacing w:after="160"/>
            </w:pPr>
            <w:r>
              <w:rPr>
                <w:rStyle w:val="row-content-rich-text"/>
                <w:i/>
              </w:rPr>
              <w:t xml:space="preserve">ABS Quality declaration summary for Causes of death, Australia, 2010</w:t>
            </w:r>
            <w:r>
              <w:rPr>
                <w:rStyle w:val="row-content-rich-text"/>
              </w:rPr>
              <w:t xml:space="preserve"> (cat. no. 3303.0)&lt;</w:t>
            </w:r>
            <w:hyperlink w:history="true" r:id="R676a6b6773e64c06">
              <w:r>
                <w:rPr>
                  <w:rStyle w:val="Hyperlink"/>
                </w:rPr>
                <w:t xml:space="preserve">http://www.abs.gov.au/Ausstats/abs@.nsf/0/</w:t>
              </w:r>
              <w:r>
                <w:br/>
              </w:r>
              <w:r>
                <w:rPr>
                  <w:rStyle w:val="row-content-rich-text"/>
                </w:rPr>
                <w:t xml:space="preserve">D4A300EE1E04AA43CA2576E800156A24?OpenDocument</w:t>
              </w:r>
            </w:hyperlink>
            <w:r>
              <w:rPr>
                <w:rStyle w:val="row-content-rich-text"/>
              </w:rPr>
              <w:t xml:space="preserve">&gt;</w:t>
            </w:r>
          </w:p>
          <w:p>
            <w:pPr>
              <w:spacing w:after="160"/>
            </w:pPr>
            <w:r>
              <w:rPr>
                <w:rStyle w:val="row-content-rich-text"/>
              </w:rPr>
              <w:t xml:space="preserve">and</w:t>
            </w:r>
          </w:p>
          <w:p>
            <w:pPr>
              <w:spacing w:after="160"/>
            </w:pPr>
            <w:r>
              <w:rPr>
                <w:rStyle w:val="row-content-rich-text"/>
                <w:i/>
              </w:rPr>
              <w:t xml:space="preserve">ABS Quality declaration summary for Deaths, Australia, 2010</w:t>
            </w:r>
            <w:r>
              <w:rPr>
                <w:rStyle w:val="row-content-rich-text"/>
              </w:rPr>
              <w:t xml:space="preserve"> (cat. no. 3302.0)&lt;</w:t>
            </w:r>
          </w:p>
          <w:p>
            <w:hyperlink w:history="true" r:id="Rf808ebcb6628444c">
              <w:r>
                <w:rPr>
                  <w:rStyle w:val="Hyperlink"/>
                </w:rPr>
                <w:t xml:space="preserve">http://www.abs.gov.au/Ausstats/abs@.nsf/0/</w:t>
              </w:r>
              <w:r>
                <w:br/>
              </w:r>
              <w:r>
                <w:rPr>
                  <w:rStyle w:val="row-content-rich-text"/>
                </w:rPr>
                <w:t xml:space="preserve">9FD0E6AAA0BB3388CA25750B000E3CF5?OpenDocument</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based on administrative data currently available. Non-fatal events are estimated from the National Hospital Morbidity Database (NHMD) and fatal events from the National Mortality Database (NMD).</w:t>
            </w:r>
          </w:p>
          <w:p>
            <w:pPr>
              <w:spacing w:after="160"/>
            </w:pPr>
            <w:r>
              <w:rPr>
                <w:rStyle w:val="row-content-rich-text"/>
              </w:rPr>
              <w:t xml:space="preserve">It is an estimate of ‘events’, not individuals. It should be noted that an individual may have multiple events in the one year or in different years. Each would be counted.</w:t>
            </w:r>
          </w:p>
          <w:p>
            <w:pPr>
              <w:spacing w:after="160"/>
            </w:pPr>
            <w:r>
              <w:rPr>
                <w:rStyle w:val="row-content-rich-text"/>
              </w:rPr>
              <w:t xml:space="preserve">The method of estimation has been developed based on an analysis of current hospital and deaths data (AIHW 2011. </w:t>
            </w:r>
            <w:r>
              <w:rPr>
                <w:rStyle w:val="row-content-rich-text"/>
                <w:i/>
              </w:rPr>
              <w:t xml:space="preserve">Monitoring acute coronary syndrome using national hospital data: an information paper on trends and issues</w:t>
            </w:r>
            <w:r>
              <w:rPr>
                <w:rStyle w:val="row-content-rich-text"/>
              </w:rPr>
              <w:t xml:space="preserve">. Cat. No. CVD 57. Canberra). This method has not yet been validated and should therefore be considered interim. The AIHW is currently undertaking work to validate the algorithm.</w:t>
            </w:r>
          </w:p>
          <w:p>
            <w:pPr>
              <w:spacing w:after="160"/>
            </w:pPr>
            <w:r>
              <w:rPr>
                <w:rStyle w:val="row-content-rich-text"/>
              </w:rPr>
              <w:t xml:space="preserve">The accuracy of the estimates rely on the accuracy of coding of the principal diagnosis (as either AMI or UA) in the NHMD and of the underlying cause of death (as acute coronary heart disease) in the NMD. It also relies on the accuracy of coding of transfers to another acute hospital and of death in hospital.</w:t>
            </w:r>
          </w:p>
          <w:p>
            <w:pPr>
              <w:spacing w:after="160"/>
            </w:pPr>
            <w:r>
              <w:rPr>
                <w:rStyle w:val="row-content-rich-text"/>
              </w:rPr>
              <w:t xml:space="preserve">One acute coronary event may involve multiple hospitalisations, due to transfers for treatment and on-going care. In the NHMD these are recorded as multiple unlinked hospital episodes (there are no identifiers to enable linkage of related hospital episodes). Therefore, to estimate the number of non-fatal events only those episodes that did not end in a transfer to another acute hospital or end in a death in hospital are counted.</w:t>
            </w:r>
          </w:p>
          <w:p>
            <w:pPr>
              <w:spacing w:after="160"/>
            </w:pPr>
            <w:r>
              <w:rPr>
                <w:rStyle w:val="row-content-rich-text"/>
              </w:rPr>
              <w:t xml:space="preserve">The coding of principal diagnosis and the coding of death in hospital in the NHMD are likely to be of reasonable quality. However, the coding of transfers may vary across hospitals and jurisdictions.</w:t>
            </w:r>
          </w:p>
          <w:p>
            <w:pPr>
              <w:spacing w:after="160"/>
            </w:pPr>
            <w:r>
              <w:rPr>
                <w:rStyle w:val="row-content-rich-text"/>
              </w:rPr>
              <w:t xml:space="preserve">It is possible that the method underestimates the number of fatal acute coronary deaths by only counting those deaths coded as ICD-10 I20-I24. This excludes chronic coronary heart disease (I25). It is possible that some deaths from heart attacks are coded as chronic heart disease, especially in older people. However, the extent of this is unknown until validation is undertaken.</w:t>
            </w:r>
          </w:p>
          <w:p>
            <w:pPr>
              <w:spacing w:after="160"/>
            </w:pPr>
            <w:r>
              <w:rPr>
                <w:rStyle w:val="row-content-rich-text"/>
              </w:rPr>
              <w:t xml:space="preserve">The year in which the event occurred is determined from the separation date for hospitalisations, and from the year of registration of death.</w:t>
            </w:r>
          </w:p>
          <w:p>
            <w:pPr>
              <w:spacing w:after="160"/>
            </w:pPr>
            <w:r>
              <w:rPr>
                <w:rStyle w:val="row-content-rich-text"/>
              </w:rPr>
              <w:t xml:space="preserve">Data are reported by the state or territory of residence of the person at the time of hospitalisation or death.</w:t>
            </w:r>
          </w:p>
          <w:p>
            <w:pPr>
              <w:spacing w:after="160"/>
            </w:pPr>
            <w:r>
              <w:rPr>
                <w:rStyle w:val="row-content-rich-text"/>
              </w:rPr>
              <w:t xml:space="preserve">Variations in key variables (particularly in transfer rates) across jurisdictions indicate that the method of estimation may lead to an under-estimate of incidence in some jurisdictions and an over-estimate in others. This variation may be due to differences in treatment patterns but could also be due to differences in coding practices. As the extent of this cannot be measured until the algorithm is validated estimates are not reported at a jurisdictional level.</w:t>
            </w:r>
          </w:p>
          <w:p>
            <w:pPr/>
            <w:r>
              <w:rPr>
                <w:rStyle w:val="row-content-rich-text"/>
              </w:rPr>
              <w:t xml:space="preserve">Estimates for Indigenous and Other Australians, and the associated total, are based on data from those jurisdictions where the quality of identification is considered reasonable in both the NHMD and the NMD. Only NSW, Qld, WA, SA and the NT are included in the national estimates reported by Indigenous status. Estimates for Other Australians are calculated by subtracting Indigenous estimates from total estimates for the five jurisdictions and divided by the population of Other Australians in those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estimation has not yet been validated and possible errors are not able to be calculated at this time. Estimates should be treated with caution until the method is validated. The AIHW is currently undertaking work to validate the method with results expected in 2013.</w:t>
            </w:r>
          </w:p>
          <w:p>
            <w:pPr>
              <w:spacing w:after="160"/>
            </w:pPr>
            <w:r>
              <w:rPr>
                <w:rStyle w:val="row-content-rich-text"/>
              </w:rPr>
              <w:t xml:space="preserve">The accuracy of the estimates will depend on the accuracy of coding in the NHMD and the NMD (see data sources for DQS for each data source). In particular the accuracy of coding of principal diagnosis, hospital transfers, deaths in hospital and underlying cause of death are central to the accuracy of the estimates.</w:t>
            </w:r>
          </w:p>
          <w:p>
            <w:pPr/>
            <w:r>
              <w:rPr>
                <w:rStyle w:val="row-content-rich-text"/>
              </w:rPr>
              <w:t xml:space="preserve">The accuracy of Indigenous estimates is also reliant on the appropriate identification of Indigenous people in the NHMD and the NMD. Only five jurisdictions are considered to have reasonable quality Indigenous identification in both datasets required to estimate this indicator (the NHMD and the NMD). The five jurisdictions are NSW, QLD, WA, SA and the NT. Indigenous counts for the NT exclude acute coronary events treated in the private hospital in the NT. All non-fatal events treated in the private hospital in the NT are therefore included in the incidence counts for ‘Other’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first year in which this indicator has been reported. The method should be considered as interim until validation is complete.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6b4fcb12e041d1">
              <w:r>
                <w:rPr>
                  <w:rStyle w:val="Hyperlink"/>
                </w:rPr>
                <w:t xml:space="preserve">National Healthcare Agreement: PI 09-Incidence of heart attacks, 2014 QS</w:t>
              </w:r>
            </w:hyperlink>
          </w:p>
          <w:p>
            <w:pPr>
              <w:pStyle w:val="registration-status"/>
              <w:spacing w:before="0" w:after="0"/>
            </w:pPr>
            <w:hyperlink w:history="true" r:id="Rde9993f5d8c445c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5e9b85edc9d4518">
              <w:r>
                <w:rPr>
                  <w:rStyle w:val="Hyperlink"/>
                </w:rPr>
                <w:t xml:space="preserve">National Healthcare Agreement: PI 09-Incidence of heart attacks, 2013</w:t>
              </w:r>
            </w:hyperlink>
          </w:p>
          <w:p>
            <w:pPr>
              <w:pStyle w:val="registration-status"/>
              <w:spacing w:before="0" w:after="0"/>
            </w:pPr>
            <w:hyperlink w:history="true" r:id="R610b9b3e534a4035">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c9c0f63b0e0c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507359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32baaa486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0f63b0e0c46a1" /><Relationship Type="http://schemas.openxmlformats.org/officeDocument/2006/relationships/header" Target="/word/header1.xml" Id="Rbbd1f33b766a4032" /><Relationship Type="http://schemas.openxmlformats.org/officeDocument/2006/relationships/settings" Target="/word/settings.xml" Id="Ra0175abaa7de42ed" /><Relationship Type="http://schemas.openxmlformats.org/officeDocument/2006/relationships/styles" Target="/word/styles.xml" Id="R02d5471057594871" /><Relationship Type="http://schemas.openxmlformats.org/officeDocument/2006/relationships/numbering" Target="/word/numbering.xml" Id="Raf2ca49db147445a" /><Relationship Type="http://schemas.openxmlformats.org/officeDocument/2006/relationships/hyperlink" Target="https://meteor-uat.aihw.gov.au/RegistrationAuthority/14" TargetMode="External" Id="Rd249b860cec848f2" /><Relationship Type="http://schemas.openxmlformats.org/officeDocument/2006/relationships/hyperlink" Target="http://www.aihw.gov.au/" TargetMode="External" Id="R2b50b7d2727d422a" /><Relationship Type="http://schemas.openxmlformats.org/officeDocument/2006/relationships/hyperlink" Target="http://www.aihw.gov.au/hospitals-data/" TargetMode="External" Id="Rce560d42704a49ae" /><Relationship Type="http://schemas.openxmlformats.org/officeDocument/2006/relationships/hyperlink" Target="http://www.aihw.gov.au/deaths/" TargetMode="External" Id="Re96245a5e56c4b00" /><Relationship Type="http://schemas.openxmlformats.org/officeDocument/2006/relationships/hyperlink" Target="http://www.aihw.gov.au/WorkArea/DownloadAsset.aspx?id=10737421911" TargetMode="External" Id="Rc605da9769d64250" /><Relationship Type="http://schemas.openxmlformats.org/officeDocument/2006/relationships/hyperlink" Target="http://www.abs.gov.au/Ausstats/abs@.nsf/0/D4A300EE1E04AA43CA2576E800156A24?OpenDocument" TargetMode="External" Id="R676a6b6773e64c06" /><Relationship Type="http://schemas.openxmlformats.org/officeDocument/2006/relationships/hyperlink" Target="http://www.abs.gov.au/Ausstats/abs@.nsf/0/9FD0E6AAA0BB3388CA25750B000E3CF5?OpenDocument" TargetMode="External" Id="Rf808ebcb6628444c" /><Relationship Type="http://schemas.openxmlformats.org/officeDocument/2006/relationships/hyperlink" Target="https://meteor-uat.aihw.gov.au/content/517754" TargetMode="External" Id="R006b4fcb12e041d1" /><Relationship Type="http://schemas.openxmlformats.org/officeDocument/2006/relationships/hyperlink" Target="https://meteor-uat.aihw.gov.au/RegistrationAuthority/14" TargetMode="External" Id="Rde9993f5d8c445ce" /><Relationship Type="http://schemas.openxmlformats.org/officeDocument/2006/relationships/hyperlink" Target="https://meteor-uat.aihw.gov.au/content/497512" TargetMode="External" Id="Re5e9b85edc9d4518" /><Relationship Type="http://schemas.openxmlformats.org/officeDocument/2006/relationships/hyperlink" Target="https://meteor-uat.aihw.gov.au/RegistrationAuthority/14" TargetMode="External" Id="R610b9b3e534a4035" /></Relationships>
</file>

<file path=word/_rels/header1.xml.rels>&#65279;<?xml version="1.0" encoding="utf-8"?><Relationships xmlns="http://schemas.openxmlformats.org/package/2006/relationships"><Relationship Type="http://schemas.openxmlformats.org/officeDocument/2006/relationships/image" Target="/media/image.png" Id="Ref832baaa486453f" /></Relationships>
</file>