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f0fbfced8b48d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83cd51f4b452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 </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Data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i/>
              </w:rPr>
              <w:t xml:space="preserve">METeOR –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NPDC includes all relevant data elements of interest for this indicator. Birthweight is a Perinatal NMDS item. In 2010, very few (0.06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For maternal records where Indigenous status was not stated (0.3 per cent), data were excluded from Indigenous and non-Indigenous analyses.</w:t>
            </w:r>
          </w:p>
          <w:p>
            <w:pPr/>
            <w:r>
              <w:rPr>
                <w:rStyle w:val="row-content-rich-text"/>
              </w:rPr>
              <w:t xml:space="preserve">The indicator is presented by Socio-Economic Indexes for Areas (SEIFA) Index of Relative Socio-Economic Disadvantage (IRSD). The data supplied to the NPDC include a code for SLA from all states and territories. Reporting by remoteness is in accordance with the Australian Standard Geographical Classification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2010 Perinatal NMDS by Victoria to prepare this indicator was not the final data. Further minor changes to the data are unlikely to produce any detectable change to the indicator.</w:t>
            </w:r>
          </w:p>
          <w:p>
            <w:pPr>
              <w:spacing w:after="160"/>
            </w:pPr>
            <w:r>
              <w:rPr>
                <w:rStyle w:val="row-content-rich-text"/>
              </w:rPr>
              <w:t xml:space="preserve">The geographical location code for the area of usual residence of the mother is included in the Perinatal NMDS. Only 0.2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0.09 per cent of records were missing overall. 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r>
              <w:rPr>
                <w:rStyle w:val="row-content-rich-text"/>
              </w:rPr>
              <w:t xml:space="preserve">Changing levels of Indigenous identification over time and across jurisdictions may also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a917b44c334e8f">
              <w:r>
                <w:rPr>
                  <w:rStyle w:val="Hyperlink"/>
                </w:rPr>
                <w:t xml:space="preserve">National Healthcare Agreement: PI 01-Proportion of babies born with low birth weight, 2012 QS</w:t>
              </w:r>
            </w:hyperlink>
          </w:p>
          <w:p>
            <w:pPr>
              <w:pStyle w:val="registration-status"/>
              <w:spacing w:before="0" w:after="0"/>
            </w:pPr>
            <w:hyperlink w:history="true" r:id="Ref1689884d05412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d606aefe32c4ce6">
              <w:r>
                <w:rPr>
                  <w:rStyle w:val="Hyperlink"/>
                </w:rPr>
                <w:t xml:space="preserve">National Healthcare Agreement: PI 01-Proportion of babies born with low birth weight, 2014 QS</w:t>
              </w:r>
            </w:hyperlink>
          </w:p>
          <w:p>
            <w:pPr>
              <w:pStyle w:val="registration-status"/>
              <w:spacing w:before="0" w:after="0"/>
            </w:pPr>
            <w:hyperlink w:history="true" r:id="Ra34f30eda5eb41a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6b9a8fd7d364e5e">
              <w:r>
                <w:rPr>
                  <w:rStyle w:val="Hyperlink"/>
                </w:rPr>
                <w:t xml:space="preserve">National Healthcare Agreement: PI 01-Proportion of babies born of low birth weight, 2013</w:t>
              </w:r>
            </w:hyperlink>
          </w:p>
          <w:p>
            <w:pPr>
              <w:pStyle w:val="registration-status"/>
              <w:spacing w:before="0" w:after="0"/>
            </w:pPr>
            <w:hyperlink w:history="true" r:id="R2921181fd33141d8">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13a85c66a067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05fad472a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85c66a06740d4" /><Relationship Type="http://schemas.openxmlformats.org/officeDocument/2006/relationships/header" Target="/word/header1.xml" Id="R41f0bf7b4a974607" /><Relationship Type="http://schemas.openxmlformats.org/officeDocument/2006/relationships/settings" Target="/word/settings.xml" Id="R2cdcce77544344cf" /><Relationship Type="http://schemas.openxmlformats.org/officeDocument/2006/relationships/styles" Target="/word/styles.xml" Id="Rae7094d6ed554f2f" /><Relationship Type="http://schemas.openxmlformats.org/officeDocument/2006/relationships/numbering" Target="/word/numbering.xml" Id="R615d9f5161a54dec" /><Relationship Type="http://schemas.openxmlformats.org/officeDocument/2006/relationships/hyperlink" Target="https://meteor-uat.aihw.gov.au/RegistrationAuthority/14" TargetMode="External" Id="Refa83cd51f4b452c" /><Relationship Type="http://schemas.openxmlformats.org/officeDocument/2006/relationships/hyperlink" Target="https://meteor-uat.aihw.gov.au/content/500984" TargetMode="External" Id="R44a917b44c334e8f" /><Relationship Type="http://schemas.openxmlformats.org/officeDocument/2006/relationships/hyperlink" Target="https://meteor-uat.aihw.gov.au/RegistrationAuthority/14" TargetMode="External" Id="Ref1689884d054128" /><Relationship Type="http://schemas.openxmlformats.org/officeDocument/2006/relationships/hyperlink" Target="https://meteor-uat.aihw.gov.au/content/517770" TargetMode="External" Id="R3d606aefe32c4ce6" /><Relationship Type="http://schemas.openxmlformats.org/officeDocument/2006/relationships/hyperlink" Target="https://meteor-uat.aihw.gov.au/RegistrationAuthority/14" TargetMode="External" Id="Ra34f30eda5eb41a6" /><Relationship Type="http://schemas.openxmlformats.org/officeDocument/2006/relationships/hyperlink" Target="https://meteor-uat.aihw.gov.au/content/498209" TargetMode="External" Id="Rd6b9a8fd7d364e5e" /><Relationship Type="http://schemas.openxmlformats.org/officeDocument/2006/relationships/hyperlink" Target="https://meteor-uat.aihw.gov.au/RegistrationAuthority/14" TargetMode="External" Id="R2921181fd33141d8" /></Relationships>
</file>

<file path=word/_rels/header1.xml.rels>&#65279;<?xml version="1.0" encoding="utf-8"?><Relationships xmlns="http://schemas.openxmlformats.org/package/2006/relationships"><Relationship Type="http://schemas.openxmlformats.org/officeDocument/2006/relationships/image" Target="/media/image.png" Id="R49905fad472a4f8d" /></Relationships>
</file>