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b022ee7664223"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1f377e782458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c762189db9d4b48">
              <w:r>
                <w:rPr>
                  <w:rStyle w:val="Hyperlink"/>
                  <w:color w:val="244061"/>
                </w:rPr>
                <w:t xml:space="preserve">Disability</w:t>
              </w:r>
            </w:hyperlink>
            <w:r>
              <w:rPr>
                <w:rStyle w:val="row-content"/>
                <w:color w:val="244061"/>
              </w:rPr>
              <w:t xml:space="preserve">, Standard 13/08/2015</w:t>
            </w:r>
          </w:p>
          <w:p>
            <w:pPr>
              <w:spacing w:before="0" w:after="0"/>
            </w:pPr>
            <w:hyperlink w:history="true" r:id="Rdbf4b2891bd3436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life areas in which a person participates or undertakes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 across specified activity and participation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Managing things around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Managing tasks and handling situations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Personal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Community life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 using public transport.</w:t>
            </w:r>
          </w:p>
          <w:p>
            <w:pPr>
              <w:spacing w:after="160"/>
            </w:pPr>
            <w:r>
              <w:rPr>
                <w:rStyle w:val="row-content-rich-text"/>
              </w:rPr>
              <w:t xml:space="preserve">Animals used for personal mobility (that is, guide dogs and companion animals) are generally considered to fall into the category of aids and/or equipment. Also included within this category are prosthetic and orthotic devices, wheelchairs, transfer devices, etc.</w:t>
            </w:r>
          </w:p>
          <w:p>
            <w:pPr>
              <w:spacing w:after="160"/>
            </w:pPr>
            <w:r>
              <w:rPr>
                <w:rStyle w:val="row-content-rich-text"/>
              </w:rPr>
              <w:t xml:space="preserve">CODE 3 Communication</w:t>
            </w:r>
          </w:p>
          <w:p>
            <w:pPr>
              <w:spacing w:after="160"/>
            </w:pPr>
            <w:r>
              <w:rPr>
                <w:rStyle w:val="row-content-rich-text"/>
              </w:rPr>
              <w:t xml:space="preserve">This includes understanding or being understood by other people, including people you know; using a telephone.</w:t>
            </w:r>
          </w:p>
          <w:p>
            <w:pPr>
              <w:spacing w:after="160"/>
            </w:pPr>
            <w:r>
              <w:rPr>
                <w:rStyle w:val="row-content-rich-text"/>
              </w:rPr>
              <w:t xml:space="preserve">For this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p>
            <w:pPr>
              <w:spacing w:after="160"/>
            </w:pPr>
            <w:r>
              <w:rPr>
                <w:rStyle w:val="row-content-rich-text"/>
              </w:rPr>
              <w:t xml:space="preserve">CODE 4 Learning and applying knowledge </w:t>
            </w:r>
          </w:p>
          <w:p>
            <w:pPr>
              <w:spacing w:after="160"/>
            </w:pPr>
            <w:r>
              <w:rPr>
                <w:rStyle w:val="row-content-rich-text"/>
              </w:rPr>
              <w:t xml:space="preserve">This includes keeping focused on things; learning new things; solving problems; making decisions.</w:t>
            </w:r>
          </w:p>
          <w:p>
            <w:pPr>
              <w:spacing w:after="160"/>
            </w:pPr>
            <w:r>
              <w:rPr>
                <w:rStyle w:val="row-content-rich-text"/>
              </w:rPr>
              <w:t xml:space="preserve">CODE 5 Managing things around the home</w:t>
            </w:r>
          </w:p>
          <w:p>
            <w:pPr>
              <w:spacing w:after="160"/>
            </w:pPr>
            <w:r>
              <w:rPr>
                <w:rStyle w:val="row-content-rich-text"/>
              </w:rPr>
              <w:t xml:space="preserve">This includes getting groceries; preparing meals; doing washing or cleaning; taking care of pets.</w:t>
            </w:r>
          </w:p>
          <w:p>
            <w:pPr>
              <w:spacing w:after="160"/>
            </w:pPr>
            <w:r>
              <w:rPr>
                <w:rStyle w:val="row-content-rich-text"/>
              </w:rPr>
              <w:t xml:space="preserve">CODE 6 Managing tasks and handling situations</w:t>
            </w:r>
          </w:p>
          <w:p>
            <w:pPr>
              <w:spacing w:after="160"/>
            </w:pPr>
            <w:r>
              <w:rPr>
                <w:rStyle w:val="row-content-rich-text"/>
              </w:rPr>
              <w:t xml:space="preserve">This includes managing daily routine; managing time; planning activities; coping with pressure or stressful situations.</w:t>
            </w:r>
          </w:p>
          <w:p>
            <w:pPr>
              <w:spacing w:after="160"/>
            </w:pPr>
            <w:r>
              <w:rPr>
                <w:rStyle w:val="row-content-rich-text"/>
              </w:rPr>
              <w:t xml:space="preserve">CODE 7 Personal relationships  </w:t>
            </w:r>
          </w:p>
          <w:p>
            <w:pPr>
              <w:spacing w:after="160"/>
            </w:pPr>
            <w:r>
              <w:rPr>
                <w:rStyle w:val="row-content-rich-text"/>
              </w:rPr>
              <w:t xml:space="preserve">This includes making friends; meeting new people; showing respect to others; coping with feelings and emotions.</w:t>
            </w:r>
          </w:p>
          <w:p>
            <w:pPr>
              <w:spacing w:after="160"/>
            </w:pPr>
            <w:r>
              <w:rPr>
                <w:rStyle w:val="row-content-rich-text"/>
              </w:rPr>
              <w:t xml:space="preserve">CODE 8 Community life </w:t>
            </w:r>
          </w:p>
          <w:p>
            <w:pPr>
              <w:spacing w:after="160"/>
            </w:pPr>
            <w:r>
              <w:rPr>
                <w:rStyle w:val="row-content-rich-text"/>
              </w:rPr>
              <w:t xml:space="preserve">This includes participating in sports, leisure or religious activities; being part of a social club or organisation.</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life areas, provide examples of activities and explain to the respondent that the following questions are asked in the context of a long-term health condition or disability that has lasted, or is expected to last, 6 months or more.</w:t>
            </w:r>
          </w:p>
          <w:p>
            <w:pPr>
              <w:spacing w:after="160"/>
            </w:pPr>
            <w:r>
              <w:rPr>
                <w:rStyle w:val="row-content-rich-text"/>
              </w:rPr>
              <w:t xml:space="preserve">Note that this is seeking to identify if, due to a long-term health condition or disability, a respondent cannot undertake everyday activities that other people in a similar age group would normally be able to carry out.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the nine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e3aaa7a5ba4f75">
              <w:r>
                <w:rPr>
                  <w:rStyle w:val="Hyperlink"/>
                </w:rPr>
                <w:t xml:space="preserve">Person—activity and participation life area, disability flag code N</w:t>
              </w:r>
            </w:hyperlink>
          </w:p>
          <w:p>
            <w:pPr>
              <w:pStyle w:val="registration-status"/>
              <w:spacing w:before="0" w:after="0"/>
            </w:pPr>
            <w:hyperlink w:history="true" r:id="Rc0aae0dbd205441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47fbc71ee8c492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3b9eb15774147d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ce3d832db8d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b556d64b1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3d832db8d4aca" /><Relationship Type="http://schemas.openxmlformats.org/officeDocument/2006/relationships/header" Target="/word/header1.xml" Id="R9ce2bc513d5b46de" /><Relationship Type="http://schemas.openxmlformats.org/officeDocument/2006/relationships/settings" Target="/word/settings.xml" Id="R7163b3273ae74237" /><Relationship Type="http://schemas.openxmlformats.org/officeDocument/2006/relationships/styles" Target="/word/styles.xml" Id="R9117b802ea4b46d8" /><Relationship Type="http://schemas.openxmlformats.org/officeDocument/2006/relationships/hyperlink" Target="https://meteor-uat.aihw.gov.au/RegistrationAuthority/3" TargetMode="External" Id="R8a21f377e782458f" /><Relationship Type="http://schemas.openxmlformats.org/officeDocument/2006/relationships/hyperlink" Target="https://meteor-uat.aihw.gov.au/RegistrationAuthority/18" TargetMode="External" Id="R4c762189db9d4b48" /><Relationship Type="http://schemas.openxmlformats.org/officeDocument/2006/relationships/hyperlink" Target="https://meteor-uat.aihw.gov.au/RegistrationAuthority/14" TargetMode="External" Id="Rdbf4b2891bd34364" /><Relationship Type="http://schemas.openxmlformats.org/officeDocument/2006/relationships/hyperlink" Target="https://meteor-uat.aihw.gov.au/content/505720" TargetMode="External" Id="R7ae3aaa7a5ba4f75" /><Relationship Type="http://schemas.openxmlformats.org/officeDocument/2006/relationships/hyperlink" Target="https://meteor-uat.aihw.gov.au/RegistrationAuthority/3" TargetMode="External" Id="Rc0aae0dbd2054412" /><Relationship Type="http://schemas.openxmlformats.org/officeDocument/2006/relationships/hyperlink" Target="https://meteor-uat.aihw.gov.au/RegistrationAuthority/18" TargetMode="External" Id="Rb47fbc71ee8c4929" /><Relationship Type="http://schemas.openxmlformats.org/officeDocument/2006/relationships/hyperlink" Target="https://meteor-uat.aihw.gov.au/RegistrationAuthority/14" TargetMode="External" Id="Re3b9eb15774147db" /></Relationships>
</file>

<file path=word/_rels/header1.xml.rels>&#65279;<?xml version="1.0" encoding="utf-8"?><Relationships xmlns="http://schemas.openxmlformats.org/package/2006/relationships"><Relationship Type="http://schemas.openxmlformats.org/officeDocument/2006/relationships/image" Target="/media/image.png" Id="Rfadb556d64b145fd" /></Relationships>
</file>