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d55faa161943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d9ae46a734a5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are restricted to re-accreditations within the previous financial year. </w:t>
            </w:r>
          </w:p>
          <w:p>
            <w:pPr>
              <w:pStyle w:val="ListParagraph"/>
              <w:numPr>
                <w:ilvl w:val="0"/>
                <w:numId w:val="2"/>
              </w:numPr>
            </w:pPr>
            <w:r>
              <w:rPr>
                <w:rStyle w:val="row-content-rich-text"/>
              </w:rPr>
              <w:t xml:space="preserve">The data exclude those homes that are reviewed during a financial year for possible systemic failures.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w:t>
            </w:r>
          </w:p>
          <w:p>
            <w:pPr/>
            <w:r>
              <w:rPr>
                <w:rStyle w:val="row-content-rich-text"/>
              </w:rPr>
              <w:t xml:space="preserve">The tables for this indicator were prepared by the Department of Health and Ageing (DoHA) and quality-assessed by the Australian Institute of Health and Welfare (AIHW). The data quality statement was developed by DoHA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Aged Care Standards and Accreditation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 and exclude those homes that are reviewed during a financial year for possible systemic failures.</w:t>
            </w:r>
          </w:p>
          <w:p>
            <w:pPr>
              <w:spacing w:after="160"/>
            </w:pPr>
            <w:r>
              <w:rPr>
                <w:rStyle w:val="row-content-rich-text"/>
              </w:rPr>
              <w:t xml:space="preserve">Terms used in the dataset may be ambiguous because a user may not understand that the data has limitations as a proxy measure of the industry’s performance.</w:t>
            </w:r>
          </w:p>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Each year there are more assessment contacts (including unannounced visits) than there are audits. Restricting this measure to ‘re-accreditation’ data excludes those homes which were subject to a review audit – that is, those homes which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 in-time’ assessment of performance and as accreditation generally follows a three-yearly cycle. The audit data can sometimes be up to three years old.</w:t>
            </w:r>
          </w:p>
          <w:p>
            <w:pPr>
              <w:spacing w:after="160"/>
            </w:pPr>
            <w:r>
              <w:rPr>
                <w:rStyle w:val="row-content-rich-text"/>
              </w:rPr>
              <w:t xml:space="preserve">A limitation in the data is that they are only for re-accreditation decisions made during the financial year, i.e. 2011-12.</w:t>
            </w:r>
          </w:p>
          <w:p>
            <w:pPr/>
            <w:r>
              <w:rPr>
                <w:rStyle w:val="row-content-rich-text"/>
              </w:rPr>
              <w:t xml:space="preserve">In 2011-12, there were around 2,700 accredited residential aged care homes, but only around 1,280 re-accreditation decisions were made. In the previous year, only around 480 re-accreditation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year 2010-11 is a period between the accreditation peaks and consequently the number of decisions is much lower than for 2009-10.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The measure excludes those homes where there are reasonable grounds to believe there may be significant and systemic failure. The possible decisions available following a review audit of this kind are:</w:t>
            </w:r>
          </w:p>
          <w:p>
            <w:pPr>
              <w:pStyle w:val="ListParagraph"/>
              <w:numPr>
                <w:ilvl w:val="0"/>
                <w:numId w:val="3"/>
              </w:numPr>
            </w:pPr>
            <w:r>
              <w:rPr>
                <w:rStyle w:val="row-content-rich-text"/>
              </w:rPr>
              <w:t xml:space="preserve">to revoke the service’s accreditation,</w:t>
            </w:r>
            <w:r>
              <w:br/>
            </w:r>
          </w:p>
          <w:p>
            <w:pPr>
              <w:pStyle w:val="ListParagraph"/>
              <w:numPr>
                <w:ilvl w:val="0"/>
                <w:numId w:val="3"/>
              </w:numPr>
            </w:pPr>
            <w:r>
              <w:rPr>
                <w:rStyle w:val="row-content-rich-text"/>
              </w:rPr>
              <w:t xml:space="preserve">not revoke and not vary the period of accreditation, or</w:t>
            </w:r>
            <w:r>
              <w:br/>
            </w:r>
          </w:p>
          <w:p>
            <w:pPr>
              <w:pStyle w:val="ListParagraph"/>
              <w:numPr>
                <w:ilvl w:val="0"/>
                <w:numId w:val="3"/>
              </w:numPr>
            </w:pPr>
            <w:r>
              <w:rPr>
                <w:rStyle w:val="row-content-rich-text"/>
              </w:rPr>
              <w:t xml:space="preserve">not revoke and to vary the period of accreditation.</w:t>
            </w:r>
            <w:r>
              <w:br/>
            </w:r>
          </w:p>
          <w:p>
            <w:pPr/>
            <w:r>
              <w:rPr>
                <w:rStyle w:val="row-content-rich-text"/>
              </w:rPr>
              <w:t xml:space="preserve">‘Re-accreditation’ is not a decision available following a review audit under the Accreditation Grant Principles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6b1bd28ff544c2">
              <w:r>
                <w:rPr>
                  <w:rStyle w:val="Hyperlink"/>
                </w:rPr>
                <w:t xml:space="preserve">National Healthcare Agreement: PI 28-Proportion of residential aged care services that are three year re-accredited, 2014 QS</w:t>
              </w:r>
            </w:hyperlink>
          </w:p>
          <w:p>
            <w:pPr>
              <w:pStyle w:val="registration-status"/>
              <w:spacing w:before="0" w:after="0"/>
            </w:pPr>
            <w:hyperlink w:history="true" r:id="Rb7e6078c8fd24f9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dc92c694038453f">
              <w:r>
                <w:rPr>
                  <w:rStyle w:val="Hyperlink"/>
                </w:rPr>
                <w:t xml:space="preserve">National Healthcare Agreement: PI 28-Proportion of residential aged care services that are three year re-accredited, 2013</w:t>
              </w:r>
            </w:hyperlink>
          </w:p>
          <w:p>
            <w:pPr>
              <w:pStyle w:val="registration-status"/>
              <w:spacing w:before="0" w:after="0"/>
            </w:pPr>
            <w:hyperlink w:history="true" r:id="R6d7b09cfe0bb4c57">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02c1b08808194b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d69df5bf3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1b08808194bab" /><Relationship Type="http://schemas.openxmlformats.org/officeDocument/2006/relationships/header" Target="/word/header1.xml" Id="Rc69b985b95b44d4d" /><Relationship Type="http://schemas.openxmlformats.org/officeDocument/2006/relationships/settings" Target="/word/settings.xml" Id="Ra7809bc9f5294f2f" /><Relationship Type="http://schemas.openxmlformats.org/officeDocument/2006/relationships/styles" Target="/word/styles.xml" Id="Rcb0d3a5e09504139" /><Relationship Type="http://schemas.openxmlformats.org/officeDocument/2006/relationships/numbering" Target="/word/numbering.xml" Id="R12ed1f186c384cb4" /><Relationship Type="http://schemas.openxmlformats.org/officeDocument/2006/relationships/hyperlink" Target="https://meteor-uat.aihw.gov.au/RegistrationAuthority/14" TargetMode="External" Id="R064d9ae46a734a57" /><Relationship Type="http://schemas.openxmlformats.org/officeDocument/2006/relationships/hyperlink" Target="https://meteor-uat.aihw.gov.au/content/517715" TargetMode="External" Id="Ra96b1bd28ff544c2" /><Relationship Type="http://schemas.openxmlformats.org/officeDocument/2006/relationships/hyperlink" Target="https://meteor-uat.aihw.gov.au/RegistrationAuthority/14" TargetMode="External" Id="Rb7e6078c8fd24f9b" /><Relationship Type="http://schemas.openxmlformats.org/officeDocument/2006/relationships/hyperlink" Target="https://meteor-uat.aihw.gov.au/content/496882" TargetMode="External" Id="Rfdc92c694038453f" /><Relationship Type="http://schemas.openxmlformats.org/officeDocument/2006/relationships/hyperlink" Target="https://meteor-uat.aihw.gov.au/RegistrationAuthority/14" TargetMode="External" Id="R6d7b09cfe0bb4c57" /></Relationships>
</file>

<file path=word/_rels/header1.xml.rels>&#65279;<?xml version="1.0" encoding="utf-8"?><Relationships xmlns="http://schemas.openxmlformats.org/package/2006/relationships"><Relationship Type="http://schemas.openxmlformats.org/officeDocument/2006/relationships/image" Target="/media/image.png" Id="R86cd69df5bf348a6" /></Relationships>
</file>