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baae2a38e404942" /></Relationships>
</file>

<file path=word/document.xml><?xml version="1.0" encoding="utf-8"?>
<w:document xmlns:r="http://schemas.openxmlformats.org/officeDocument/2006/relationships" xmlns:w="http://schemas.openxmlformats.org/wordprocessingml/2006/main">
  <w:body>
    <w:p>
      <w:pPr>
        <w:pStyle w:val="Title"/>
      </w:pPr>
      <w:r>
        <w:t>Dwelling file cluster (Indigenous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file cluster (Indigenous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498635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fd721ebe6b48aa">
              <w:r>
                <w:rPr>
                  <w:rStyle w:val="Hyperlink"/>
                  <w:color w:val="244061"/>
                </w:rPr>
                <w:t xml:space="preserve">Indigenous</w:t>
              </w:r>
            </w:hyperlink>
            <w:r>
              <w:rPr>
                <w:rStyle w:val="row-content"/>
                <w:color w:val="244061"/>
              </w:rPr>
              <w:t xml:space="preserve">, Standard 01/05/2013</w:t>
            </w:r>
          </w:p>
          <w:p>
            <w:pPr>
              <w:spacing w:before="0" w:after="0"/>
            </w:pPr>
            <w:hyperlink w:history="true" r:id="R1908c37e40674ce8">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Indigenous community housing (ICH) for the purpose of this collection includes dwellings:</w:t>
            </w:r>
          </w:p>
          <w:p>
            <w:pPr>
              <w:pStyle w:val="ListParagraph"/>
              <w:numPr>
                <w:ilvl w:val="0"/>
                <w:numId w:val="2"/>
              </w:numPr>
            </w:pPr>
            <w:r>
              <w:rPr>
                <w:rStyle w:val="row-content-rich-text"/>
              </w:rPr>
              <w:t xml:space="preserve">managed by Indigenous Community Housing Organisations (ICHOs) who received funding both in the current and/or previous financial years; and</w:t>
            </w:r>
          </w:p>
          <w:p>
            <w:pPr>
              <w:pStyle w:val="ListParagraph"/>
              <w:numPr>
                <w:ilvl w:val="0"/>
                <w:numId w:val="2"/>
              </w:numPr>
            </w:pPr>
            <w:r>
              <w:rPr>
                <w:rStyle w:val="row-content-rich-text"/>
              </w:rPr>
              <w:t xml:space="preserve">targeted to Indigenous people.</w:t>
            </w:r>
          </w:p>
          <w:p>
            <w:pPr>
              <w:spacing w:after="160"/>
            </w:pPr>
            <w:r>
              <w:rPr>
                <w:rStyle w:val="row-content-rich-text"/>
              </w:rPr>
              <w:t xml:space="preserve">A principle of the ICHO must be to provide medium- to long-term housing tenure to tenants.</w:t>
            </w:r>
          </w:p>
          <w:p>
            <w:pPr>
              <w:spacing w:after="160"/>
            </w:pPr>
            <w:r>
              <w:rPr>
                <w:rStyle w:val="row-content-rich-text"/>
              </w:rPr>
              <w:t xml:space="preserve">This collection excludes dwellings managed under:</w:t>
            </w:r>
          </w:p>
          <w:p>
            <w:pPr>
              <w:pStyle w:val="ListParagraph"/>
              <w:numPr>
                <w:ilvl w:val="0"/>
                <w:numId w:val="3"/>
              </w:numPr>
            </w:pPr>
            <w:r>
              <w:rPr>
                <w:rStyle w:val="row-content-rich-text"/>
              </w:rPr>
              <w:t xml:space="preserve">mainstream community housing (i.e. not managed by an ICHO)</w:t>
            </w:r>
          </w:p>
          <w:p>
            <w:pPr>
              <w:pStyle w:val="ListParagraph"/>
              <w:numPr>
                <w:ilvl w:val="0"/>
                <w:numId w:val="3"/>
              </w:numPr>
            </w:pPr>
            <w:r>
              <w:rPr>
                <w:rStyle w:val="row-content-rich-text"/>
              </w:rPr>
              <w:t xml:space="preserve">public rental housing</w:t>
            </w:r>
          </w:p>
          <w:p>
            <w:pPr>
              <w:pStyle w:val="ListParagraph"/>
              <w:numPr>
                <w:ilvl w:val="0"/>
                <w:numId w:val="3"/>
              </w:numPr>
            </w:pPr>
            <w:r>
              <w:rPr>
                <w:rStyle w:val="row-content-rich-text"/>
              </w:rPr>
              <w:t xml:space="preserve">state owned and managed Indigenous housing (SOMIH)</w:t>
            </w:r>
          </w:p>
          <w:p>
            <w:pPr>
              <w:pStyle w:val="ListParagraph"/>
              <w:numPr>
                <w:ilvl w:val="0"/>
                <w:numId w:val="3"/>
              </w:numPr>
            </w:pPr>
            <w:r>
              <w:rPr>
                <w:rStyle w:val="row-content-rich-text"/>
              </w:rPr>
              <w:t xml:space="preserve">the Crisis Accommodation Program (CAP).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a349c2daa0f4490e">
              <w:r>
                <w:rPr>
                  <w:rStyle w:val="Hyperlink"/>
                </w:rPr>
                <w:t xml:space="preserve">Dwelling</w:t>
              </w:r>
            </w:hyperlink>
            <w:r>
              <w:rPr>
                <w:rStyle w:val="row-content-rich-text"/>
              </w:rPr>
              <w:t xml:space="preserve">s and </w:t>
            </w:r>
          </w:p>
          <w:p>
            <w:hyperlink w:history="true" r:id="Rdf800d7ce312466f">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 and territory governments provide the data to the Australian Institute of Health and Welfare for national collation on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e6f601e37fc4c09">
              <w:r>
                <w:rPr>
                  <w:rStyle w:val="Hyperlink"/>
                </w:rPr>
                <w:t xml:space="preserve">Dwelling file cluster (Indigenous community housing)</w:t>
              </w:r>
            </w:hyperlink>
          </w:p>
          <w:p>
            <w:pPr>
              <w:pStyle w:val="registration-status"/>
              <w:spacing w:before="0" w:after="0"/>
            </w:pPr>
            <w:hyperlink w:history="true" r:id="R9fd8d56b0b514337">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1d57dc5a2d774a4f">
              <w:r>
                <w:rPr>
                  <w:rStyle w:val="Hyperlink"/>
                </w:rPr>
                <w:t xml:space="preserve">Dwelling file cluster (Indigenous community housing)</w:t>
              </w:r>
            </w:hyperlink>
          </w:p>
          <w:p>
            <w:pPr>
              <w:pStyle w:val="registration-status"/>
              <w:spacing w:before="0" w:after="0"/>
            </w:pPr>
            <w:hyperlink w:history="true" r:id="Ra9377219fb3d4d7b">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595f88f0d624af9">
              <w:r>
                <w:rPr>
                  <w:rStyle w:val="Hyperlink"/>
                </w:rPr>
                <w:t xml:space="preserve">Indigenous community housing DSS 2011-12</w:t>
              </w:r>
            </w:hyperlink>
          </w:p>
          <w:p>
            <w:pPr>
              <w:pStyle w:val="registration-status"/>
              <w:spacing w:before="0" w:after="0"/>
            </w:pPr>
            <w:hyperlink w:history="true" r:id="R5209ff52fd5b42f5">
              <w:r>
                <w:rPr>
                  <w:rStyle w:val="Hyperlink"/>
                  <w:color w:val="244061"/>
                </w:rPr>
                <w:t xml:space="preserve">Housing assistance</w:t>
              </w:r>
            </w:hyperlink>
            <w:r>
              <w:rPr>
                <w:rStyle w:val="row-content"/>
                <w:color w:val="244061"/>
              </w:rPr>
              <w:t xml:space="preserve">, Superseded 03/07/2014</w:t>
            </w:r>
          </w:p>
          <w:p>
            <w:pPr>
              <w:pStyle w:val="registration-status"/>
              <w:spacing w:before="0" w:after="0"/>
            </w:pPr>
            <w:hyperlink w:history="true" r:id="Rb9717fa9a4d34651">
              <w:r>
                <w:rPr>
                  <w:rStyle w:val="Hyperlink"/>
                  <w:color w:val="244061"/>
                </w:rPr>
                <w:t xml:space="preserve">Indigenous</w:t>
              </w:r>
            </w:hyperlink>
            <w:r>
              <w:rPr>
                <w:rStyle w:val="row-content"/>
                <w:color w:val="244061"/>
              </w:rPr>
              <w:t xml:space="preserve">, Standard 01/05/2013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17fd39bf056c4e97">
              <w:r>
                <w:rPr>
                  <w:rStyle w:val="Hyperlink"/>
                </w:rPr>
                <w:t xml:space="preserve">Indigenous community housing DSS 2012-13</w:t>
              </w:r>
            </w:hyperlink>
          </w:p>
          <w:p>
            <w:pPr>
              <w:pStyle w:val="registration-status"/>
              <w:spacing w:before="0" w:after="0"/>
            </w:pPr>
            <w:hyperlink w:history="true" r:id="R4d7182998d0b47c7">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f3bc64b5934d04">
                    <w:r>
                      <w:rPr>
                        <w:rStyle w:val="Hyperlink"/>
                      </w:rPr>
                      <w:t xml:space="preserve">Indigenous community housing dwelling address details cluster</w:t>
                    </w:r>
                  </w:hyperlink>
                </w:p>
                <w:p>
                  <w:r>
                    <w:rPr>
                      <w:b/>
                      <w:i/>
                      <w:color w:val="333333"/>
                    </w:rPr>
                    <w:t xml:space="preserve">DSS specific information:</w:t>
                  </w:r>
                </w:p>
                <w:p>
                  <w:r>
                    <w:t xml:space="preserve">The data elements in this cluster provide a detailed description of the individual components used to create a dwelling address as described by AS4590. This cluster enables the collection of  street name, street number, suburb, postcode and state/territory identifier etc.</w:t>
                  </w:r>
                </w:p>
                <w:p>
                  <w:r>
                    <w:t xml:space="preserve">Additional items have been provided to describe other common aspects of address, such as building or complex name, post office boxes etc.</w:t>
                  </w:r>
                </w:p>
                <w:p>
                  <w:r>
                    <w:t xml:space="preserve">In the Indigenous Community Housing collection, the dwelling address details were collected in an alternative manner:</w:t>
                  </w:r>
                </w:p>
                <w:p>
                  <w:pPr>
                    <w:pStyle w:val="ListParagraph"/>
                    <w:numPr>
                      <w:ilvl w:val="0"/>
                      <w:numId w:val="4"/>
                    </w:numPr>
                  </w:pPr>
                  <w:r>
                    <w:t xml:space="preserve">House/lot number - 4 numeric characters</w:t>
                  </w:r>
                </w:p>
                <w:p>
                  <w:pPr>
                    <w:pStyle w:val="ListParagraph"/>
                    <w:numPr>
                      <w:ilvl w:val="0"/>
                      <w:numId w:val="4"/>
                    </w:numPr>
                  </w:pPr>
                  <w:r>
                    <w:t xml:space="preserve">Street name - 40 alphanumeric characters</w:t>
                  </w:r>
                </w:p>
                <w:p>
                  <w:pPr>
                    <w:pStyle w:val="ListParagraph"/>
                    <w:numPr>
                      <w:ilvl w:val="0"/>
                      <w:numId w:val="4"/>
                    </w:numPr>
                  </w:pPr>
                  <w:r>
                    <w:t xml:space="preserve">Suburb - 15 alphanumeric characters</w:t>
                  </w:r>
                </w:p>
                <w:p>
                  <w:pPr>
                    <w:pStyle w:val="ListParagraph"/>
                    <w:numPr>
                      <w:ilvl w:val="0"/>
                      <w:numId w:val="4"/>
                    </w:numPr>
                  </w:pPr>
                  <w:r>
                    <w:t xml:space="preserve">Postcode - 4 numeric characters. Unknown values recorded as "U"</w:t>
                  </w:r>
                </w:p>
                <w:p>
                  <w:pPr>
                    <w:pStyle w:val="ListParagraph"/>
                    <w:numPr>
                      <w:ilvl w:val="0"/>
                      <w:numId w:val="4"/>
                    </w:numPr>
                  </w:pPr>
                  <w:r>
                    <w:t xml:space="preserve">Dwelling Longitude - 15 alphanumeric characters. Unknown values recorded as "U"</w:t>
                  </w:r>
                </w:p>
                <w:p>
                  <w:pPr>
                    <w:pStyle w:val="ListParagraph"/>
                    <w:numPr>
                      <w:ilvl w:val="0"/>
                      <w:numId w:val="4"/>
                    </w:numPr>
                  </w:pPr>
                  <w:r>
                    <w:t xml:space="preserve">Dwelling Latitude - 15 alphanumeric characters. Unknown values recorded as "U"</w:t>
                  </w:r>
                </w:p>
                <w:p>
                  <w:pPr>
                    <w:pStyle w:val="ListParagraph"/>
                    <w:numPr>
                      <w:ilvl w:val="0"/>
                      <w:numId w:val="4"/>
                    </w:numPr>
                  </w:pPr>
                  <w:r>
                    <w:t xml:space="preserve">Dwelling remoteness - ASCG codeset and Unknown values recorded as "U"</w:t>
                  </w:r>
                </w:p>
                <w:p>
                  <w:pPr>
                    <w:pStyle w:val="ListParagraph"/>
                    <w:numPr>
                      <w:ilvl w:val="0"/>
                      <w:numId w:val="4"/>
                    </w:numPr>
                  </w:pPr>
                  <w:r>
                    <w:t xml:space="preserve">Dwelling other (location) - 40 alphanumeric characters.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2858f86e094e03">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48c582521a4189">
                    <w:r>
                      <w:rPr>
                        <w:rStyle w:val="Hyperlink"/>
                      </w:rPr>
                      <w:t xml:space="preserve">Address—geocode latitude, decimal degrees XN[N][.N(9)]</w:t>
                    </w:r>
                  </w:hyperlink>
                </w:p>
                <w:p>
                  <w:r>
                    <w:rPr>
                      <w:b/>
                      <w:i/>
                      <w:color w:val="333333"/>
                    </w:rPr>
                    <w:t xml:space="preserve">DSS specific information:</w:t>
                  </w:r>
                </w:p>
                <w:p>
                  <w:r>
                    <w:t xml:space="preserve">Unknown values should be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f4e341ac21945d0">
                    <w:r>
                      <w:rPr>
                        <w:rStyle w:val="Hyperlink"/>
                      </w:rPr>
                      <w:t xml:space="preserve">Address—geocode longitude, decimal degrees XN[NN][.N(9)]</w:t>
                    </w:r>
                  </w:hyperlink>
                </w:p>
                <w:p>
                  <w:r>
                    <w:rPr>
                      <w:b/>
                      <w:i/>
                      <w:color w:val="333333"/>
                    </w:rPr>
                    <w:t xml:space="preserve">DSS specific information:</w:t>
                  </w:r>
                </w:p>
                <w:p>
                  <w:r>
                    <w:t xml:space="preserve">Unknown values should be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9a838e8079f4132">
                    <w:r>
                      <w:rPr>
                        <w:rStyle w:val="Hyperlink"/>
                      </w:rPr>
                      <w:t xml:space="preserve">Address—location descriptor, text X[X(49)]</w:t>
                    </w:r>
                  </w:hyperlink>
                </w:p>
                <w:p>
                  <w:r>
                    <w:rPr>
                      <w:b/>
                      <w:i/>
                      <w:color w:val="333333"/>
                    </w:rPr>
                    <w:t xml:space="preserve">Conditional obligation:</w:t>
                  </w:r>
                </w:p>
                <w:p>
                  <w:r>
                    <w:t xml:space="preserve">This is conditional on additional information being required for the dwelling address, other than street number, street name, postcode etc.</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2f7cc86173a4763">
                    <w:r>
                      <w:rPr>
                        <w:rStyle w:val="Hyperlink"/>
                      </w:rPr>
                      <w:t xml:space="preserve">Address—lot number, identifier X[XXXXX]</w:t>
                    </w:r>
                  </w:hyperlink>
                </w:p>
                <w:p>
                  <w:r>
                    <w:rPr>
                      <w:b/>
                      <w:i/>
                      <w:color w:val="333333"/>
                    </w:rPr>
                    <w:t xml:space="preserve">Conditional obligation:</w:t>
                  </w:r>
                </w:p>
                <w:p>
                  <w:r>
                    <w:t xml:space="preserve">This conditional on the dwelling address being a lot number.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316d01813094032">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ca217e7417d414f">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01e021ec5c1416c">
                    <w:r>
                      <w:rPr>
                        <w:rStyle w:val="Hyperlink"/>
                      </w:rPr>
                      <w:t xml:space="preserve">Address—road number 2, road number XXXXXX</w:t>
                    </w:r>
                  </w:hyperlink>
                </w:p>
                <w:p>
                  <w:r>
                    <w:rPr>
                      <w:b/>
                      <w:i/>
                      <w:color w:val="333333"/>
                    </w:rPr>
                    <w:t xml:space="preserve">Conditional obligation:</w:t>
                  </w:r>
                </w:p>
                <w:p>
                  <w:r>
                    <w:t xml:space="preserve">This is conditional on the road number being a ranged number.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70cdd787f7441c6">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ebf627f9c1b4984">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96ec7c959d42b4">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dwelling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ced86cbe49040ab">
                    <w:r>
                      <w:rPr>
                        <w:rStyle w:val="Hyperlink"/>
                      </w:rPr>
                      <w:t xml:space="preserve">Dwelling—Australian state/territory identifier, code N</w:t>
                    </w:r>
                  </w:hyperlink>
                </w:p>
                <w:p>
                  <w:r>
                    <w:rPr>
                      <w:b/>
                      <w:i/>
                      <w:color w:val="333333"/>
                    </w:rPr>
                    <w:t xml:space="preserve">DSS specific information:</w:t>
                  </w:r>
                </w:p>
                <w:p>
                  <w:r>
                    <w:t xml:space="preserve">The dwelling state/territory identifer is recorded using the following abbreviations. Code "9" is not used by this collection.</w:t>
                  </w:r>
                </w:p>
                <w:p>
                  <w:r>
                    <w:t xml:space="preserve"> </w:t>
                  </w:r>
                </w:p>
                <w:tbl>
                  <w:tblPr>
                    <w:tblStyle w:val="InnerTable"/>
                    <w:tblW w:w="0" w:type="auto"/>
                  </w:tblPr>
                  <w:tblGrid>
                    <w:gridCol/>
                    <w:gridCol/>
                    <w:gridCol/>
                  </w:tblGrid>
                  <w:tr>
                    <w:trPr/>
                    <w:tc>
                      <w:tcPr>
                        <w:vAlign w:val="top"/>
                      </w:tcPr>
                      <w:p>
                        <w:r>
                          <w:rPr>
                            <w:b/>
                          </w:rPr>
                          <w:t xml:space="preserve">METeOR Value</w:t>
                        </w:r>
                      </w:p>
                    </w:tc>
                    <w:tc>
                      <w:tcPr>
                        <w:vAlign w:val="top"/>
                      </w:tcPr>
                      <w:p>
                        <w:r>
                          <w:rPr>
                            <w:b/>
                          </w:rPr>
                          <w:t xml:space="preserve">METeor Label</w:t>
                        </w:r>
                      </w:p>
                    </w:tc>
                    <w:tc>
                      <w:tcPr>
                        <w:vAlign w:val="top"/>
                      </w:tcPr>
                      <w:p>
                        <w:r>
                          <w:rPr>
                            <w:b/>
                          </w:rPr>
                          <w:t xml:space="preserve">CHO Recorded Value</w:t>
                        </w:r>
                      </w:p>
                    </w:tc>
                  </w:tr>
                  <w:tr>
                    <w:trPr/>
                    <w:tc>
                      <w:tcPr>
                        <w:vAlign w:val="top"/>
                      </w:tcPr>
                      <w:p>
                        <w:r>
                          <w:t xml:space="preserve">1</w:t>
                        </w:r>
                      </w:p>
                    </w:tc>
                    <w:tc>
                      <w:tcPr>
                        <w:vAlign w:val="top"/>
                      </w:tcPr>
                      <w:p>
                        <w:r>
                          <w:t xml:space="preserve">New South Wales</w:t>
                        </w:r>
                      </w:p>
                    </w:tc>
                    <w:tc>
                      <w:tcPr>
                        <w:vAlign w:val="top"/>
                      </w:tcPr>
                      <w:p>
                        <w:r>
                          <w:t xml:space="preserve">NSW</w:t>
                        </w:r>
                      </w:p>
                    </w:tc>
                  </w:tr>
                  <w:tr>
                    <w:trPr/>
                    <w:tc>
                      <w:tcPr>
                        <w:vAlign w:val="top"/>
                      </w:tcPr>
                      <w:p>
                        <w:r>
                          <w:t xml:space="preserve">2</w:t>
                        </w:r>
                      </w:p>
                    </w:tc>
                    <w:tc>
                      <w:tcPr>
                        <w:vAlign w:val="top"/>
                      </w:tcPr>
                      <w:p>
                        <w:r>
                          <w:t xml:space="preserve">Victoria</w:t>
                        </w:r>
                      </w:p>
                    </w:tc>
                    <w:tc>
                      <w:tcPr>
                        <w:vAlign w:val="top"/>
                      </w:tcPr>
                      <w:p>
                        <w:r>
                          <w:t xml:space="preserve">Vic</w:t>
                        </w:r>
                      </w:p>
                    </w:tc>
                  </w:tr>
                  <w:tr>
                    <w:trPr/>
                    <w:tc>
                      <w:tcPr>
                        <w:vAlign w:val="top"/>
                      </w:tcPr>
                      <w:p>
                        <w:r>
                          <w:t xml:space="preserve">3</w:t>
                        </w:r>
                      </w:p>
                    </w:tc>
                    <w:tc>
                      <w:tcPr>
                        <w:vAlign w:val="top"/>
                      </w:tcPr>
                      <w:p>
                        <w:r>
                          <w:t xml:space="preserve">Queensland</w:t>
                        </w:r>
                      </w:p>
                    </w:tc>
                    <w:tc>
                      <w:tcPr>
                        <w:vAlign w:val="top"/>
                      </w:tcPr>
                      <w:p>
                        <w:r>
                          <w:t xml:space="preserve">Qld</w:t>
                        </w:r>
                      </w:p>
                    </w:tc>
                  </w:tr>
                  <w:tr>
                    <w:trPr/>
                    <w:tc>
                      <w:tcPr>
                        <w:vAlign w:val="top"/>
                      </w:tcPr>
                      <w:p>
                        <w:r>
                          <w:t xml:space="preserve">4</w:t>
                        </w:r>
                      </w:p>
                    </w:tc>
                    <w:tc>
                      <w:tcPr>
                        <w:vAlign w:val="top"/>
                      </w:tcPr>
                      <w:p>
                        <w:r>
                          <w:t xml:space="preserve">Western Australia</w:t>
                        </w:r>
                      </w:p>
                    </w:tc>
                    <w:tc>
                      <w:tcPr>
                        <w:vAlign w:val="top"/>
                      </w:tcPr>
                      <w:p>
                        <w:r>
                          <w:t xml:space="preserve">WA</w:t>
                        </w:r>
                      </w:p>
                    </w:tc>
                  </w:tr>
                  <w:tr>
                    <w:trPr/>
                    <w:tc>
                      <w:tcPr>
                        <w:vAlign w:val="top"/>
                      </w:tcPr>
                      <w:p>
                        <w:r>
                          <w:t xml:space="preserve">5</w:t>
                        </w:r>
                      </w:p>
                    </w:tc>
                    <w:tc>
                      <w:tcPr>
                        <w:vAlign w:val="top"/>
                      </w:tcPr>
                      <w:p>
                        <w:r>
                          <w:t xml:space="preserve">South Australia</w:t>
                        </w:r>
                      </w:p>
                    </w:tc>
                    <w:tc>
                      <w:tcPr>
                        <w:vAlign w:val="top"/>
                      </w:tcPr>
                      <w:p>
                        <w:r>
                          <w:t xml:space="preserve">SA</w:t>
                        </w:r>
                      </w:p>
                    </w:tc>
                  </w:tr>
                  <w:tr>
                    <w:trPr/>
                    <w:tc>
                      <w:tcPr>
                        <w:vAlign w:val="top"/>
                      </w:tcPr>
                      <w:p>
                        <w:r>
                          <w:t xml:space="preserve">6</w:t>
                        </w:r>
                      </w:p>
                    </w:tc>
                    <w:tc>
                      <w:tcPr>
                        <w:vAlign w:val="top"/>
                      </w:tcPr>
                      <w:p>
                        <w:r>
                          <w:t xml:space="preserve">Tasmania</w:t>
                        </w:r>
                      </w:p>
                    </w:tc>
                    <w:tc>
                      <w:tcPr>
                        <w:vAlign w:val="top"/>
                      </w:tcPr>
                      <w:p>
                        <w:r>
                          <w:t xml:space="preserve">Tas</w:t>
                        </w:r>
                      </w:p>
                    </w:tc>
                  </w:tr>
                  <w:tr>
                    <w:trPr/>
                    <w:tc>
                      <w:tcPr>
                        <w:vAlign w:val="top"/>
                      </w:tcPr>
                      <w:p>
                        <w:r>
                          <w:t xml:space="preserve">7</w:t>
                        </w:r>
                      </w:p>
                    </w:tc>
                    <w:tc>
                      <w:tcPr>
                        <w:vAlign w:val="top"/>
                      </w:tcPr>
                      <w:p>
                        <w:r>
                          <w:t xml:space="preserve">Australian Capital Territory</w:t>
                        </w:r>
                      </w:p>
                    </w:tc>
                    <w:tc>
                      <w:tcPr>
                        <w:vAlign w:val="top"/>
                      </w:tcPr>
                      <w:p>
                        <w:r>
                          <w:t xml:space="preserve">ACT</w:t>
                        </w:r>
                      </w:p>
                    </w:tc>
                  </w:tr>
                  <w:tr>
                    <w:trPr/>
                    <w:tc>
                      <w:tcPr>
                        <w:vAlign w:val="top"/>
                      </w:tcPr>
                      <w:p>
                        <w:r>
                          <w:t xml:space="preserve">8</w:t>
                        </w:r>
                      </w:p>
                    </w:tc>
                    <w:tc>
                      <w:tcPr>
                        <w:vAlign w:val="top"/>
                      </w:tcPr>
                      <w:p>
                        <w:r>
                          <w:t xml:space="preserve">Northern Territory</w:t>
                        </w:r>
                      </w:p>
                    </w:tc>
                    <w:tc>
                      <w:tcPr>
                        <w:vAlign w:val="top"/>
                      </w:tcPr>
                      <w:p>
                        <w:r>
                          <w:t xml:space="preserve">NT</w:t>
                        </w:r>
                      </w:p>
                    </w:tc>
                  </w:tr>
                  <w:tr>
                    <w:trPr/>
                    <w:tc>
                      <w:tcPr>
                        <w:vAlign w:val="top"/>
                      </w:tcPr>
                      <w:p>
                        <w:r>
                          <w:t xml:space="preserve">9</w:t>
                        </w:r>
                      </w:p>
                    </w:tc>
                    <w:tc>
                      <w:tcPr>
                        <w:vAlign w:val="top"/>
                      </w:tcPr>
                      <w:p>
                        <w:r>
                          <w:t xml:space="preserve">Other territories (Cocos (Keeling)</w:t>
                        </w:r>
                      </w:p>
                      <w:p>
                        <w:r>
                          <w:t xml:space="preserve">Islands, Christmas Island and Jervis</w:t>
                        </w:r>
                      </w:p>
                      <w:p>
                        <w:r>
                          <w:t xml:space="preserve">Bay Territory)</w:t>
                        </w:r>
                      </w:p>
                    </w:tc>
                    <w:tc>
                      <w:tcPr>
                        <w:vAlign w:val="top"/>
                      </w:tcPr>
                      <w:p>
                        <w:r>
                          <w:t xml:space="preserve">-</w:t>
                        </w:r>
                      </w:p>
                    </w:tc>
                  </w:tr>
                </w:tbl>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de27ad98224b66">
                    <w:r>
                      <w:rPr>
                        <w:rStyle w:val="Hyperlink"/>
                      </w:rPr>
                      <w:t xml:space="preserve">Dwelling—geographic remoteness, classification (ASGC-RA)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1cea4ee3094901">
                    <w:r>
                      <w:rPr>
                        <w:rStyle w:val="Hyperlink"/>
                      </w:rPr>
                      <w:t xml:space="preserve">Indigenous community housing dwelling occupancy status cluster</w:t>
                    </w:r>
                  </w:hyperlink>
                </w:p>
                <w:p>
                  <w:r>
                    <w:rPr>
                      <w:b/>
                      <w:i/>
                      <w:color w:val="333333"/>
                    </w:rPr>
                    <w:t xml:space="preserve">DSS specific information:</w:t>
                  </w:r>
                </w:p>
                <w:p>
                  <w:r>
                    <w:t xml:space="preserve">The current standards for dwelling occupancy and tenantability status have been added to this data set, to align the Indigenous community housing collection with other housing collections.</w:t>
                  </w:r>
                </w:p>
                <w:p>
                  <w:r>
                    <w:t xml:space="preserve">An alternative code set is used by the collection, which accounts for most values in the standard items. The alternative codeset and mapping is as follows:</w:t>
                  </w:r>
                </w:p>
                <w:p>
                  <w:r>
                    <w:t xml:space="preserve"> </w:t>
                  </w:r>
                </w:p>
                <w:p>
                  <w:r>
                    <w:t xml:space="preserve"> </w:t>
                  </w:r>
                </w:p>
                <w:tbl>
                  <w:tblPr>
                    <w:tblStyle w:val="InnerTable"/>
                    <w:tblW w:w="0" w:type="auto"/>
                  </w:tblPr>
                  <w:tblGrid>
                    <w:gridCol/>
                    <w:gridCol/>
                  </w:tblGrid>
                  <w:tr>
                    <w:trPr/>
                    <w:tc>
                      <w:tcPr>
                        <w:vAlign w:val="top"/>
                      </w:tcPr>
                      <w:p>
                        <w:r>
                          <w:rPr>
                            <w:b/>
                          </w:rPr>
                          <w:t xml:space="preserve">ICH label and value</w:t>
                        </w:r>
                      </w:p>
                    </w:tc>
                    <w:tc>
                      <w:tcPr>
                        <w:vAlign w:val="top"/>
                      </w:tcPr>
                      <w:p>
                        <w:r>
                          <w:rPr>
                            <w:b/>
                          </w:rPr>
                          <w:t xml:space="preserve">METeOR standard label and value</w:t>
                        </w:r>
                      </w:p>
                    </w:tc>
                  </w:tr>
                  <w:tr>
                    <w:trPr/>
                    <w:tc>
                      <w:tcPr>
                        <w:vAlign w:val="top"/>
                      </w:tcPr>
                      <w:p>
                        <w:r>
                          <w:rPr>
                            <w:b/>
                          </w:rPr>
                          <w:t xml:space="preserve">1 = Occupied</w:t>
                        </w:r>
                      </w:p>
                    </w:tc>
                    <w:tc>
                      <w:tcPr>
                        <w:vAlign w:val="top"/>
                      </w:tcPr>
                      <w:p>
                        <w:r>
                          <w:rPr>
                            <w:b/>
                          </w:rPr>
                          <w:t xml:space="preserve">1 = Yes (Occupied) [Occupancy standard]</w:t>
                        </w:r>
                      </w:p>
                    </w:tc>
                  </w:tr>
                  <w:tr>
                    <w:trPr/>
                    <w:tc>
                      <w:tcPr>
                        <w:vAlign w:val="top"/>
                      </w:tcPr>
                      <w:p>
                        <w:r>
                          <w:rPr>
                            <w:b/>
                          </w:rPr>
                          <w:t xml:space="preserve">2 = Untentantable</w:t>
                        </w:r>
                      </w:p>
                    </w:tc>
                    <w:tc>
                      <w:tcPr>
                        <w:vAlign w:val="top"/>
                      </w:tcPr>
                      <w:p>
                        <w:r>
                          <w:rPr>
                            <w:b/>
                          </w:rPr>
                          <w:t xml:space="preserve">2 = No (Untenantable) [Tenantability standard]</w:t>
                        </w:r>
                      </w:p>
                    </w:tc>
                  </w:tr>
                  <w:tr>
                    <w:trPr/>
                    <w:tc>
                      <w:tcPr>
                        <w:vAlign w:val="top"/>
                      </w:tcPr>
                      <w:p>
                        <w:r>
                          <w:rPr>
                            <w:b/>
                          </w:rPr>
                          <w:t xml:space="preserve">0 = Unoccupied</w:t>
                        </w:r>
                      </w:p>
                    </w:tc>
                    <w:tc>
                      <w:tcPr>
                        <w:vAlign w:val="top"/>
                      </w:tcPr>
                      <w:p>
                        <w:r>
                          <w:rPr>
                            <w:b/>
                          </w:rPr>
                          <w:t xml:space="preserve">2 = No (Not Occupied) [Occupancy standard]</w:t>
                        </w:r>
                      </w:p>
                    </w:tc>
                  </w:tr>
                  <w:tr>
                    <w:trPr/>
                    <w:tc>
                      <w:tcPr>
                        <w:vAlign w:val="top"/>
                      </w:tcPr>
                      <w:p>
                        <w:r>
                          <w:rPr>
                            <w:b/>
                          </w:rPr>
                          <w:t xml:space="preserve">N/A</w:t>
                        </w:r>
                      </w:p>
                    </w:tc>
                    <w:tc>
                      <w:tcPr>
                        <w:vAlign w:val="top"/>
                      </w:tcPr>
                      <w:p>
                        <w:r>
                          <w:rPr>
                            <w:b/>
                          </w:rPr>
                          <w:t xml:space="preserve">1 = Yes (Tenantable) [Tenantability standard]</w:t>
                        </w:r>
                      </w:p>
                    </w:tc>
                  </w:tr>
                  <w:tr>
                    <w:trPr/>
                    <w:tc>
                      <w:tcPr>
                        <w:vAlign w:val="top"/>
                      </w:tcPr>
                      <w:p>
                        <w:r>
                          <w:rPr>
                            <w:b/>
                          </w:rPr>
                          <w:t xml:space="preserve">U = Unknown</w:t>
                        </w:r>
                      </w:p>
                    </w:tc>
                    <w:tc>
                      <w:tcPr>
                        <w:vAlign w:val="top"/>
                      </w:tcPr>
                      <w:p>
                        <w:r>
                          <w:rPr>
                            <w:b/>
                          </w:rPr>
                          <w:t xml:space="preserve">9 = Not stated/Inadequately described [Occupancy and Tenantability standards]</w:t>
                        </w:r>
                      </w:p>
                    </w:tc>
                  </w:tr>
                </w:tbl>
                <w:p>
                  <w:r>
                    <w:rPr>
                      <w:b/>
                    </w:rPr>
                    <w:t xml:space="preserve"> </w:t>
                  </w:r>
                </w:p>
                <w:p>
                  <w:r>
                    <w:rPr>
                      <w:b/>
                    </w:rPr>
                    <w:t xml:space="preserve">The Indigenous community housing code set excludes the collection of dwellings which are 'tenantable'. Dwellings identified as unoccupied according to the ICH data manual, should by default be considered tenantable. Dwellings identified as occupied according to the ICH data manual, may or may not be considered tenantable.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7b827bd03d4df9">
                    <w:r>
                      <w:rPr>
                        <w:rStyle w:val="Hyperlink"/>
                      </w:rPr>
                      <w:t xml:space="preserve">Dwelling—occupancy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f89bb33f9a4a4f">
                    <w:r>
                      <w:rPr>
                        <w:rStyle w:val="Hyperlink"/>
                      </w:rPr>
                      <w:t xml:space="preserve">Dwelling—tenantability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3dcdc7d5fd407a">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22a310c0f84a63">
                    <w:r>
                      <w:rPr>
                        <w:rStyle w:val="Hyperlink"/>
                      </w:rPr>
                      <w:t xml:space="preserve">Dwelling—number of bedrooms, total N[NN]</w:t>
                    </w:r>
                  </w:hyperlink>
                </w:p>
                <w:p>
                  <w:r>
                    <w:rPr>
                      <w:b/>
                      <w:i/>
                      <w:color w:val="333333"/>
                    </w:rPr>
                    <w:t xml:space="preserve">DSS specific information:</w:t>
                  </w:r>
                </w:p>
                <w:p>
                  <w:r>
                    <w:t xml:space="preserve">Unknown values (code = "U") should be mapped to Not stated/Inadequately described (code = "999").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93e080f1e7444b">
                    <w:r>
                      <w:rPr>
                        <w:rStyle w:val="Hyperlink"/>
                      </w:rPr>
                      <w:t xml:space="preserve">Dwelling—number of households, total N[N]</w:t>
                    </w:r>
                  </w:hyperlink>
                </w:p>
                <w:p>
                  <w:r>
                    <w:rPr>
                      <w:b/>
                      <w:i/>
                      <w:color w:val="333333"/>
                    </w:rPr>
                    <w:t xml:space="preserve">DSS specific information:</w:t>
                  </w:r>
                </w:p>
                <w:p>
                  <w:r>
                    <w:t xml:space="preserve">Unknown values (code = "U") should be mapped to Not stated/Inadequately described (code = "99").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46c1207c834ccb">
                    <w:r>
                      <w:rPr>
                        <w:rStyle w:val="Hyperlink"/>
                      </w:rPr>
                      <w:t xml:space="preserve">Dwelling—number of occupants, total N[N]</w:t>
                    </w:r>
                  </w:hyperlink>
                </w:p>
                <w:p>
                  <w:r>
                    <w:rPr>
                      <w:b/>
                      <w:i/>
                      <w:color w:val="333333"/>
                    </w:rPr>
                    <w:t xml:space="preserve">DSS specific information:</w:t>
                  </w:r>
                </w:p>
                <w:p>
                  <w:r>
                    <w:t xml:space="preserve">Unknown values (code = "U") should be mapped to Not stated/Inadequately described (code = "99").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e98c107b344067">
                    <w:r>
                      <w:rPr>
                        <w:rStyle w:val="Hyperlink"/>
                      </w:rPr>
                      <w:t xml:space="preserve">Dwelling—occupancy status, code N</w:t>
                    </w:r>
                  </w:hyperlink>
                </w:p>
                <w:p>
                  <w:r>
                    <w:rPr>
                      <w:b/>
                      <w:i/>
                      <w:color w:val="333333"/>
                    </w:rPr>
                    <w:t xml:space="preserve">DSS specific information:</w:t>
                  </w:r>
                </w:p>
                <w:p>
                  <w:r>
                    <w:t xml:space="preserve">Unknown values (code = "U") should be mapped to Not stated/Inadequately described (code =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4eb913e56d463d">
                    <w:r>
                      <w:rPr>
                        <w:rStyle w:val="Hyperlink"/>
                      </w:rPr>
                      <w:t xml:space="preserve">Dwelling—permanency status, code N</w:t>
                    </w:r>
                  </w:hyperlink>
                </w:p>
                <w:p>
                  <w:r>
                    <w:rPr>
                      <w:b/>
                      <w:i/>
                      <w:color w:val="333333"/>
                    </w:rPr>
                    <w:t xml:space="preserve">DSS specific information:</w:t>
                  </w:r>
                </w:p>
                <w:p>
                  <w:r>
                    <w:t xml:space="preserve">In the Indigenous Community Housing 2011-12 collection the codeset was recorded with alternate values, and should be mapped to the values in the table below. </w:t>
                  </w:r>
                </w:p>
                <w:p>
                  <w:r>
                    <w:t xml:space="preserve"> </w:t>
                  </w:r>
                </w:p>
                <w:tbl>
                  <w:tblPr>
                    <w:tblStyle w:val="InnerTable"/>
                    <w:tblW w:w="0" w:type="auto"/>
                  </w:tblPr>
                  <w:tblGrid>
                    <w:gridCol/>
                    <w:gridCol/>
                    <w:gridCol/>
                  </w:tblGrid>
                  <w:tr>
                    <w:trPr/>
                    <w:tc>
                      <w:tcPr>
                        <w:vAlign w:val="top"/>
                      </w:tcPr>
                      <w:p>
                        <w:r>
                          <w:rPr>
                            <w:b/>
                          </w:rPr>
                          <w:t xml:space="preserve">METeOR value</w:t>
                        </w:r>
                      </w:p>
                    </w:tc>
                    <w:tc>
                      <w:tcPr>
                        <w:vAlign w:val="top"/>
                      </w:tcPr>
                      <w:p>
                        <w:r>
                          <w:rPr>
                            <w:b/>
                          </w:rPr>
                          <w:t xml:space="preserve">METeOR label</w:t>
                        </w:r>
                      </w:p>
                    </w:tc>
                    <w:tc>
                      <w:tcPr>
                        <w:vAlign w:val="top"/>
                      </w:tcPr>
                      <w:p>
                        <w:r>
                          <w:rPr>
                            <w:b/>
                          </w:rPr>
                          <w:t xml:space="preserve">ICH value</w:t>
                        </w:r>
                      </w:p>
                    </w:tc>
                  </w:tr>
                  <w:tr>
                    <w:trPr/>
                    <w:tc>
                      <w:tcPr>
                        <w:vAlign w:val="top"/>
                      </w:tcPr>
                      <w:p>
                        <w:r>
                          <w:t xml:space="preserve">1</w:t>
                        </w:r>
                      </w:p>
                    </w:tc>
                    <w:tc>
                      <w:tcPr>
                        <w:vAlign w:val="top"/>
                      </w:tcPr>
                      <w:p>
                        <w:r>
                          <w:t xml:space="preserve">Permanent</w:t>
                        </w:r>
                      </w:p>
                    </w:tc>
                    <w:tc>
                      <w:tcPr>
                        <w:vAlign w:val="top"/>
                      </w:tcPr>
                      <w:p>
                        <w:r>
                          <w:t xml:space="preserve">1</w:t>
                        </w:r>
                      </w:p>
                    </w:tc>
                  </w:tr>
                  <w:tr>
                    <w:trPr/>
                    <w:tc>
                      <w:tcPr>
                        <w:vAlign w:val="top"/>
                      </w:tcPr>
                      <w:p>
                        <w:r>
                          <w:t xml:space="preserve">2</w:t>
                        </w:r>
                      </w:p>
                    </w:tc>
                    <w:tc>
                      <w:tcPr>
                        <w:vAlign w:val="top"/>
                      </w:tcPr>
                      <w:p>
                        <w:r>
                          <w:t xml:space="preserve">Improvised</w:t>
                        </w:r>
                      </w:p>
                    </w:tc>
                    <w:tc>
                      <w:tcPr>
                        <w:vAlign w:val="top"/>
                      </w:tcPr>
                      <w:p>
                        <w:r>
                          <w:t xml:space="preserve">0</w:t>
                        </w:r>
                      </w:p>
                    </w:tc>
                  </w:tr>
                  <w:tr>
                    <w:trPr/>
                    <w:tc>
                      <w:tcPr>
                        <w:vAlign w:val="top"/>
                      </w:tcPr>
                      <w:p>
                        <w:r>
                          <w:t xml:space="preserve">9</w:t>
                        </w:r>
                      </w:p>
                    </w:tc>
                    <w:tc>
                      <w:tcPr>
                        <w:vAlign w:val="top"/>
                      </w:tcPr>
                      <w:p>
                        <w:r>
                          <w:t xml:space="preserve">Not state/Inadequately described</w:t>
                        </w:r>
                      </w:p>
                    </w:tc>
                    <w:tc>
                      <w:tcPr>
                        <w:vAlign w:val="top"/>
                      </w:tcPr>
                      <w:p>
                        <w:r>
                          <w:t xml:space="preserve">U</w:t>
                        </w:r>
                      </w:p>
                    </w:tc>
                  </w:tr>
                </w:tbl>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944c3c59c44f7f">
                    <w:r>
                      <w:rPr>
                        <w:rStyle w:val="Hyperlink"/>
                      </w:rPr>
                      <w:t xml:space="preserve">Dwelling—tenancy management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34cb5cce8b4db6">
                    <w:r>
                      <w:rPr>
                        <w:rStyle w:val="Hyperlink"/>
                      </w:rPr>
                      <w:t xml:space="preserve">Dwelling—tenantability status, code N</w:t>
                    </w:r>
                  </w:hyperlink>
                </w:p>
                <w:p>
                  <w:r>
                    <w:rPr>
                      <w:b/>
                      <w:i/>
                      <w:color w:val="333333"/>
                    </w:rPr>
                    <w:t xml:space="preserve">DSS specific information:</w:t>
                  </w:r>
                </w:p>
                <w:p>
                  <w:r>
                    <w:t xml:space="preserve">Unknown values (code = "U") should be mapped to Not stated/Inadequately described (code =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7841e708c74caa">
                    <w:r>
                      <w:rPr>
                        <w:rStyle w:val="Hyperlink"/>
                      </w:rPr>
                      <w:t xml:space="preserve">Service provider organisation—organisation identifier, X[X(14)]</w:t>
                    </w:r>
                  </w:hyperlink>
                </w:p>
                <w:p>
                  <w:r>
                    <w:rPr>
                      <w:b/>
                      <w:i/>
                      <w:color w:val="333333"/>
                    </w:rPr>
                    <w:t xml:space="preserve">DSS specific information:</w:t>
                  </w:r>
                </w:p>
                <w:p>
                  <w: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4e7893c03fd43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498635</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934763106c4c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e7893c03fd4357" /><Relationship Type="http://schemas.openxmlformats.org/officeDocument/2006/relationships/header" Target="/word/header1.xml" Id="R8b224557729f49b7" /><Relationship Type="http://schemas.openxmlformats.org/officeDocument/2006/relationships/settings" Target="/word/settings.xml" Id="R1280373e317541a0" /><Relationship Type="http://schemas.openxmlformats.org/officeDocument/2006/relationships/styles" Target="/word/styles.xml" Id="Rb0fba7e755324ed8" /><Relationship Type="http://schemas.openxmlformats.org/officeDocument/2006/relationships/numbering" Target="/word/numbering.xml" Id="R1735a068f5e149b9" /><Relationship Type="http://schemas.openxmlformats.org/officeDocument/2006/relationships/hyperlink" Target="https://meteor-uat.aihw.gov.au/RegistrationAuthority/9" TargetMode="External" Id="Rfdfd721ebe6b48aa" /><Relationship Type="http://schemas.openxmlformats.org/officeDocument/2006/relationships/hyperlink" Target="https://meteor-uat.aihw.gov.au/RegistrationAuthority/13" TargetMode="External" Id="R1908c37e40674ce8" /><Relationship Type="http://schemas.openxmlformats.org/officeDocument/2006/relationships/hyperlink" Target="https://meteor-uat.aihw.gov.au/content/268982" TargetMode="External" Id="Ra349c2daa0f4490e" /><Relationship Type="http://schemas.openxmlformats.org/officeDocument/2006/relationships/hyperlink" Target="https://meteor-uat.aihw.gov.au/content/268977" TargetMode="External" Id="Rdf800d7ce312466f" /><Relationship Type="http://schemas.openxmlformats.org/officeDocument/2006/relationships/hyperlink" Target="https://meteor-uat.aihw.gov.au/content/480533" TargetMode="External" Id="R0e6f601e37fc4c09" /><Relationship Type="http://schemas.openxmlformats.org/officeDocument/2006/relationships/hyperlink" Target="https://meteor-uat.aihw.gov.au/RegistrationAuthority/13" TargetMode="External" Id="R9fd8d56b0b514337" /><Relationship Type="http://schemas.openxmlformats.org/officeDocument/2006/relationships/hyperlink" Target="https://meteor-uat.aihw.gov.au/content/605354" TargetMode="External" Id="R1d57dc5a2d774a4f" /><Relationship Type="http://schemas.openxmlformats.org/officeDocument/2006/relationships/hyperlink" Target="https://meteor-uat.aihw.gov.au/RegistrationAuthority/13" TargetMode="External" Id="Ra9377219fb3d4d7b" /><Relationship Type="http://schemas.openxmlformats.org/officeDocument/2006/relationships/hyperlink" Target="https://meteor-uat.aihw.gov.au/content/480513" TargetMode="External" Id="R0595f88f0d624af9" /><Relationship Type="http://schemas.openxmlformats.org/officeDocument/2006/relationships/hyperlink" Target="https://meteor-uat.aihw.gov.au/RegistrationAuthority/13" TargetMode="External" Id="R5209ff52fd5b42f5" /><Relationship Type="http://schemas.openxmlformats.org/officeDocument/2006/relationships/hyperlink" Target="https://meteor-uat.aihw.gov.au/RegistrationAuthority/9" TargetMode="External" Id="Rb9717fa9a4d34651" /><Relationship Type="http://schemas.openxmlformats.org/officeDocument/2006/relationships/hyperlink" Target="https://meteor-uat.aihw.gov.au/content/565512" TargetMode="External" Id="R17fd39bf056c4e97" /><Relationship Type="http://schemas.openxmlformats.org/officeDocument/2006/relationships/hyperlink" Target="https://meteor-uat.aihw.gov.au/RegistrationAuthority/13" TargetMode="External" Id="R4d7182998d0b47c7" /><Relationship Type="http://schemas.openxmlformats.org/officeDocument/2006/relationships/hyperlink" Target="https://meteor-uat.aihw.gov.au/content/498022" TargetMode="External" Id="R89f3bc64b5934d04" /><Relationship Type="http://schemas.openxmlformats.org/officeDocument/2006/relationships/hyperlink" Target="https://meteor-uat.aihw.gov.au/content/429894" TargetMode="External" Id="R492858f86e094e03" /><Relationship Type="http://schemas.openxmlformats.org/officeDocument/2006/relationships/hyperlink" Target="https://meteor-uat.aihw.gov.au/content/430445" TargetMode="External" Id="R2748c582521a4189" /><Relationship Type="http://schemas.openxmlformats.org/officeDocument/2006/relationships/hyperlink" Target="https://meteor-uat.aihw.gov.au/content/430469" TargetMode="External" Id="Raf4e341ac21945d0" /><Relationship Type="http://schemas.openxmlformats.org/officeDocument/2006/relationships/hyperlink" Target="https://meteor-uat.aihw.gov.au/content/430302" TargetMode="External" Id="R39a838e8079f4132" /><Relationship Type="http://schemas.openxmlformats.org/officeDocument/2006/relationships/hyperlink" Target="https://meteor-uat.aihw.gov.au/content/429543" TargetMode="External" Id="R12f7cc86173a4763" /><Relationship Type="http://schemas.openxmlformats.org/officeDocument/2006/relationships/hyperlink" Target="https://meteor-uat.aihw.gov.au/content/429747" TargetMode="External" Id="Rd316d01813094032" /><Relationship Type="http://schemas.openxmlformats.org/officeDocument/2006/relationships/hyperlink" Target="https://meteor-uat.aihw.gov.au/content/429586" TargetMode="External" Id="R7ca217e7417d414f" /><Relationship Type="http://schemas.openxmlformats.org/officeDocument/2006/relationships/hyperlink" Target="https://meteor-uat.aihw.gov.au/content/429594" TargetMode="External" Id="R101e021ec5c1416c" /><Relationship Type="http://schemas.openxmlformats.org/officeDocument/2006/relationships/hyperlink" Target="https://meteor-uat.aihw.gov.au/content/429840" TargetMode="External" Id="Rb70cdd787f7441c6" /><Relationship Type="http://schemas.openxmlformats.org/officeDocument/2006/relationships/hyperlink" Target="https://meteor-uat.aihw.gov.au/content/429889" TargetMode="External" Id="R7ebf627f9c1b4984" /><Relationship Type="http://schemas.openxmlformats.org/officeDocument/2006/relationships/hyperlink" Target="https://meteor-uat.aihw.gov.au/content/430158" TargetMode="External" Id="Rf696ec7c959d42b4" /><Relationship Type="http://schemas.openxmlformats.org/officeDocument/2006/relationships/hyperlink" Target="https://meteor-uat.aihw.gov.au/content/302044" TargetMode="External" Id="R0ced86cbe49040ab" /><Relationship Type="http://schemas.openxmlformats.org/officeDocument/2006/relationships/hyperlink" Target="https://meteor-uat.aihw.gov.au/content/491575" TargetMode="External" Id="R49de27ad98224b66" /><Relationship Type="http://schemas.openxmlformats.org/officeDocument/2006/relationships/hyperlink" Target="https://meteor-uat.aihw.gov.au/content/494607" TargetMode="External" Id="Rf61cea4ee3094901" /><Relationship Type="http://schemas.openxmlformats.org/officeDocument/2006/relationships/hyperlink" Target="https://meteor-uat.aihw.gov.au/content/302863" TargetMode="External" Id="R387b827bd03d4df9" /><Relationship Type="http://schemas.openxmlformats.org/officeDocument/2006/relationships/hyperlink" Target="https://meteor-uat.aihw.gov.au/content/302930" TargetMode="External" Id="R26f89bb33f9a4a4f" /><Relationship Type="http://schemas.openxmlformats.org/officeDocument/2006/relationships/hyperlink" Target="https://meteor-uat.aihw.gov.au/content/302656" TargetMode="External" Id="R613dcdc7d5fd407a" /><Relationship Type="http://schemas.openxmlformats.org/officeDocument/2006/relationships/hyperlink" Target="https://meteor-uat.aihw.gov.au/content/479778" TargetMode="External" Id="R2f22a310c0f84a63" /><Relationship Type="http://schemas.openxmlformats.org/officeDocument/2006/relationships/hyperlink" Target="https://meteor-uat.aihw.gov.au/content/463937" TargetMode="External" Id="Rca93e080f1e7444b" /><Relationship Type="http://schemas.openxmlformats.org/officeDocument/2006/relationships/hyperlink" Target="https://meteor-uat.aihw.gov.au/content/479783" TargetMode="External" Id="R5946c1207c834ccb" /><Relationship Type="http://schemas.openxmlformats.org/officeDocument/2006/relationships/hyperlink" Target="https://meteor-uat.aihw.gov.au/content/302863" TargetMode="External" Id="R52e98c107b344067" /><Relationship Type="http://schemas.openxmlformats.org/officeDocument/2006/relationships/hyperlink" Target="https://meteor-uat.aihw.gov.au/content/292337" TargetMode="External" Id="R3d4eb913e56d463d" /><Relationship Type="http://schemas.openxmlformats.org/officeDocument/2006/relationships/hyperlink" Target="https://meteor-uat.aihw.gov.au/content/479737" TargetMode="External" Id="Rd6944c3c59c44f7f" /><Relationship Type="http://schemas.openxmlformats.org/officeDocument/2006/relationships/hyperlink" Target="https://meteor-uat.aihw.gov.au/content/302930" TargetMode="External" Id="R8934cb5cce8b4db6" /><Relationship Type="http://schemas.openxmlformats.org/officeDocument/2006/relationships/hyperlink" Target="https://meteor-uat.aihw.gov.au/content/414987" TargetMode="External" Id="Rba7841e708c74caa" /></Relationships>
</file>

<file path=word/_rels/header1.xml.rels>&#65279;<?xml version="1.0" encoding="utf-8"?><Relationships xmlns="http://schemas.openxmlformats.org/package/2006/relationships"><Relationship Type="http://schemas.openxmlformats.org/officeDocument/2006/relationships/image" Target="/media/image.png" Id="Rc1934763106c4c0b" /></Relationships>
</file>