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333b2a51846fd" /></Relationships>
</file>

<file path=word/document.xml><?xml version="1.0" encoding="utf-8"?>
<w:document xmlns:r="http://schemas.openxmlformats.org/officeDocument/2006/relationships" xmlns:w="http://schemas.openxmlformats.org/wordprocessingml/2006/main">
  <w:body>
    <w:p>
      <w:pPr>
        <w:pStyle w:val="Title"/>
      </w:pPr>
      <w:r>
        <w:t>Funding jurisdiction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jurisdiction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b932dc7734ebb">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3bc18712fad84535">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Funding jurisdiction cluster applies to </w:t>
            </w:r>
            <w:hyperlink w:history="true" r:id="R51dd04314d704a42">
              <w:r>
                <w:rPr>
                  <w:rStyle w:val="Hyperlink"/>
                </w:rPr>
                <w:t xml:space="preserve">service type outlets</w:t>
              </w:r>
            </w:hyperlink>
            <w:r>
              <w:rPr>
                <w:rStyle w:val="row-content-rich-text"/>
              </w:rPr>
              <w:t xml:space="preserve"> reporting to the Disability Services National Minimum Data Set.</w:t>
            </w:r>
          </w:p>
        </w:tc>
      </w:tr>
    </w:tbl>
    <w:p>
      <w:pPr>
        <w:pStyle w:val="Caption"/>
      </w:pPr>
      <w:r>
        <w:fldChar w:fldCharType="begin"/>
      </w:r>
      <w:r>
        <w:instrText xml:space="preserve"> SEQ TABLE \* ARABIC </w:instrText>
      </w:r>
      <w:r>
        <w:fldChar w:fldCharType="end"/>
      </w:r>
      <w:r>
        <w:rPr>
          <w:rStyle w:val="row-content-rich-text"/>
        </w:rPr>
        <w:t xml:space="preserve">Funding jurisdiction coding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data elements in this cluster enable construction of the </w:t>
            </w:r>
            <w:r>
              <w:rPr>
                <w:rStyle w:val="row-content-rich-text"/>
                <w:i/>
              </w:rPr>
              <w:t xml:space="preserve">Funding jurisdiction</w:t>
            </w:r>
            <w:r>
              <w:rPr>
                <w:rStyle w:val="row-content-rich-text"/>
              </w:rPr>
              <w:t xml:space="preserve"> item in the Disability Services National Minimum Data Set (DS NMDS). The cross-tabulation of 'state/territory identifier' and 'funding source—level of government' can be mapped to the values specified in the DS NMDS:</w:t>
            </w:r>
          </w:p>
          <w:p>
            <w:pPr>
              <w:spacing w:after="160"/>
            </w:pPr>
            <w:r>
              <w:rPr>
                <w:rStyle w:val="row-content-rich-text"/>
              </w:rPr>
              <w:t xml:space="preserve"> </w:t>
            </w:r>
          </w:p>
          <w:tbl>
            <w:tblPr>
              <w:tblStyle w:val="TableGrid"/>
              <w:tblW w:w="5000" w:type="pct"/>
              <w:tblLayout w:type="autofit"/>
            </w:tblPr>
            <w:tblGrid>
              <w:gridCol/>
              <w:gridCol/>
              <w:gridCol/>
            </w:tblGrid>
            <w:tr>
              <w:trPr/>
              <w:tc>
                <w:tcPr>
                  <w:tcW w:w="1150" w:type="pct"/>
                  <w:vAlign w:val="top"/>
                </w:tcPr>
                <w:p>
                  <w:pPr/>
                  <w:r>
                    <w:rPr>
                      <w:rStyle w:val="row-content-rich-text"/>
                    </w:rPr>
                    <w:t xml:space="preserve"> </w:t>
                  </w:r>
                  <w:r>
                    <w:rPr>
                      <w:rStyle w:val="row-content-rich-text"/>
                      <w:b/>
                    </w:rPr>
                    <w:t xml:space="preserve">Jurisdiction</w:t>
                  </w:r>
                </w:p>
              </w:tc>
              <w:tc>
                <w:tcPr>
                  <w:tcW w:w="1800" w:type="pct"/>
                  <w:vAlign w:val="top"/>
                </w:tcPr>
                <w:p>
                  <w:r>
                    <w:rPr>
                      <w:b/>
                    </w:rPr>
                    <w:t xml:space="preserve">State/territory - allocated NDA funds</w:t>
                  </w:r>
                </w:p>
              </w:tc>
              <w:tc>
                <w:tcPr>
                  <w:tcW w:w="2000" w:type="pct"/>
                  <w:vAlign w:val="top"/>
                </w:tcPr>
                <w:p>
                  <w:r>
                    <w:rPr>
                      <w:b/>
                    </w:rPr>
                    <w:t xml:space="preserve">Australian Government - allocated NDA funds</w:t>
                  </w:r>
                </w:p>
              </w:tc>
            </w:tr>
            <w:tr>
              <w:trPr/>
              <w:tc>
                <w:tcPr>
                  <w:tcW w:w="1150" w:type="pct"/>
                  <w:vAlign w:val="top"/>
                </w:tcPr>
                <w:p>
                  <w:r>
                    <w:rPr>
                      <w:b/>
                    </w:rPr>
                    <w:t xml:space="preserve">NSW</w:t>
                  </w:r>
                </w:p>
              </w:tc>
              <w:tc>
                <w:tcPr>
                  <w:tcW w:w="1800" w:type="pct"/>
                  <w:vAlign w:val="top"/>
                </w:tcPr>
                <w:p>
                  <w:r>
                    <w:t xml:space="preserve">11</w:t>
                  </w:r>
                </w:p>
              </w:tc>
              <w:tc>
                <w:tcPr>
                  <w:tcW w:w="2000" w:type="pct"/>
                  <w:vAlign w:val="top"/>
                </w:tcPr>
                <w:p>
                  <w:r>
                    <w:t xml:space="preserve">91</w:t>
                  </w:r>
                </w:p>
              </w:tc>
            </w:tr>
            <w:tr>
              <w:trPr/>
              <w:tc>
                <w:tcPr>
                  <w:tcW w:w="1150" w:type="pct"/>
                  <w:vAlign w:val="top"/>
                </w:tcPr>
                <w:p>
                  <w:r>
                    <w:rPr>
                      <w:b/>
                    </w:rPr>
                    <w:t xml:space="preserve">Vic</w:t>
                  </w:r>
                </w:p>
              </w:tc>
              <w:tc>
                <w:tcPr>
                  <w:tcW w:w="1800" w:type="pct"/>
                  <w:vAlign w:val="top"/>
                </w:tcPr>
                <w:p>
                  <w:r>
                    <w:t xml:space="preserve">12</w:t>
                  </w:r>
                </w:p>
              </w:tc>
              <w:tc>
                <w:tcPr>
                  <w:tcW w:w="2000" w:type="pct"/>
                  <w:vAlign w:val="top"/>
                </w:tcPr>
                <w:p>
                  <w:r>
                    <w:t xml:space="preserve">92</w:t>
                  </w:r>
                </w:p>
              </w:tc>
            </w:tr>
            <w:tr>
              <w:trPr/>
              <w:tc>
                <w:tcPr>
                  <w:tcW w:w="1150" w:type="pct"/>
                  <w:vAlign w:val="top"/>
                </w:tcPr>
                <w:p>
                  <w:r>
                    <w:rPr>
                      <w:b/>
                    </w:rPr>
                    <w:t xml:space="preserve">Qld</w:t>
                  </w:r>
                </w:p>
              </w:tc>
              <w:tc>
                <w:tcPr>
                  <w:tcW w:w="1800" w:type="pct"/>
                  <w:vAlign w:val="top"/>
                </w:tcPr>
                <w:p>
                  <w:r>
                    <w:t xml:space="preserve">13</w:t>
                  </w:r>
                </w:p>
              </w:tc>
              <w:tc>
                <w:tcPr>
                  <w:tcW w:w="2000" w:type="pct"/>
                  <w:vAlign w:val="top"/>
                </w:tcPr>
                <w:p>
                  <w:r>
                    <w:t xml:space="preserve">93</w:t>
                  </w:r>
                </w:p>
              </w:tc>
            </w:tr>
            <w:tr>
              <w:trPr/>
              <w:tc>
                <w:tcPr>
                  <w:tcW w:w="1150" w:type="pct"/>
                  <w:vAlign w:val="top"/>
                </w:tcPr>
                <w:p>
                  <w:r>
                    <w:rPr>
                      <w:b/>
                    </w:rPr>
                    <w:t xml:space="preserve">WA</w:t>
                  </w:r>
                </w:p>
              </w:tc>
              <w:tc>
                <w:tcPr>
                  <w:tcW w:w="1800" w:type="pct"/>
                  <w:vAlign w:val="top"/>
                </w:tcPr>
                <w:p>
                  <w:r>
                    <w:t xml:space="preserve">14</w:t>
                  </w:r>
                </w:p>
              </w:tc>
              <w:tc>
                <w:tcPr>
                  <w:tcW w:w="2000" w:type="pct"/>
                  <w:vAlign w:val="top"/>
                </w:tcPr>
                <w:p>
                  <w:r>
                    <w:t xml:space="preserve">94</w:t>
                  </w:r>
                </w:p>
              </w:tc>
            </w:tr>
            <w:tr>
              <w:trPr/>
              <w:tc>
                <w:tcPr>
                  <w:tcW w:w="1150" w:type="pct"/>
                  <w:vAlign w:val="top"/>
                </w:tcPr>
                <w:p>
                  <w:r>
                    <w:rPr>
                      <w:b/>
                    </w:rPr>
                    <w:t xml:space="preserve">SA</w:t>
                  </w:r>
                </w:p>
              </w:tc>
              <w:tc>
                <w:tcPr>
                  <w:tcW w:w="1800" w:type="pct"/>
                  <w:vAlign w:val="top"/>
                </w:tcPr>
                <w:p>
                  <w:r>
                    <w:t xml:space="preserve">15</w:t>
                  </w:r>
                </w:p>
              </w:tc>
              <w:tc>
                <w:tcPr>
                  <w:tcW w:w="2000" w:type="pct"/>
                  <w:vAlign w:val="top"/>
                </w:tcPr>
                <w:p>
                  <w:r>
                    <w:t xml:space="preserve">95</w:t>
                  </w:r>
                </w:p>
              </w:tc>
            </w:tr>
            <w:tr>
              <w:trPr/>
              <w:tc>
                <w:tcPr>
                  <w:tcW w:w="1150" w:type="pct"/>
                  <w:vAlign w:val="top"/>
                </w:tcPr>
                <w:p>
                  <w:r>
                    <w:rPr>
                      <w:b/>
                    </w:rPr>
                    <w:t xml:space="preserve">Tas</w:t>
                  </w:r>
                </w:p>
              </w:tc>
              <w:tc>
                <w:tcPr>
                  <w:tcW w:w="1800" w:type="pct"/>
                  <w:vAlign w:val="top"/>
                </w:tcPr>
                <w:p>
                  <w:r>
                    <w:t xml:space="preserve">16</w:t>
                  </w:r>
                </w:p>
              </w:tc>
              <w:tc>
                <w:tcPr>
                  <w:tcW w:w="2000" w:type="pct"/>
                  <w:vAlign w:val="top"/>
                </w:tcPr>
                <w:p>
                  <w:r>
                    <w:t xml:space="preserve">96</w:t>
                  </w:r>
                </w:p>
              </w:tc>
            </w:tr>
            <w:tr>
              <w:trPr/>
              <w:tc>
                <w:tcPr>
                  <w:tcW w:w="1150" w:type="pct"/>
                  <w:vAlign w:val="top"/>
                </w:tcPr>
                <w:p>
                  <w:r>
                    <w:rPr>
                      <w:b/>
                    </w:rPr>
                    <w:t xml:space="preserve">ACT</w:t>
                  </w:r>
                </w:p>
              </w:tc>
              <w:tc>
                <w:tcPr>
                  <w:tcW w:w="1800" w:type="pct"/>
                  <w:vAlign w:val="top"/>
                </w:tcPr>
                <w:p>
                  <w:r>
                    <w:t xml:space="preserve">17</w:t>
                  </w:r>
                </w:p>
              </w:tc>
              <w:tc>
                <w:tcPr>
                  <w:tcW w:w="2000" w:type="pct"/>
                  <w:vAlign w:val="top"/>
                </w:tcPr>
                <w:p>
                  <w:r>
                    <w:t xml:space="preserve">97</w:t>
                  </w:r>
                </w:p>
              </w:tc>
            </w:tr>
            <w:tr>
              <w:trPr/>
              <w:tc>
                <w:tcPr>
                  <w:tcW w:w="1150" w:type="pct"/>
                  <w:vAlign w:val="top"/>
                </w:tcPr>
                <w:p>
                  <w:r>
                    <w:rPr>
                      <w:b/>
                    </w:rPr>
                    <w:t xml:space="preserve">NT</w:t>
                  </w:r>
                </w:p>
              </w:tc>
              <w:tc>
                <w:tcPr>
                  <w:tcW w:w="1800" w:type="pct"/>
                  <w:vAlign w:val="top"/>
                </w:tcPr>
                <w:p>
                  <w:r>
                    <w:t xml:space="preserve">18</w:t>
                  </w:r>
                </w:p>
              </w:tc>
              <w:tc>
                <w:tcPr>
                  <w:tcW w:w="2000" w:type="pct"/>
                  <w:vAlign w:val="top"/>
                </w:tcPr>
                <w:p>
                  <w:r>
                    <w:t xml:space="preserve">98</w:t>
                  </w:r>
                </w:p>
              </w:tc>
            </w:tr>
          </w:tbl>
          <w:p>
            <w:r>
              <w:t xml:space="preserve">Note that the order of the states/territories in the 'state/territory identifier' data element has SA before WA and NT before 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2386db27b449db">
              <w:r>
                <w:rPr>
                  <w:rStyle w:val="Hyperlink"/>
                </w:rPr>
                <w:t xml:space="preserve">Disability Services NMDS 2012-14</w:t>
              </w:r>
            </w:hyperlink>
          </w:p>
          <w:p>
            <w:pPr>
              <w:pStyle w:val="registration-status"/>
              <w:spacing w:before="0" w:after="0"/>
            </w:pPr>
            <w:hyperlink w:history="true" r:id="Re388b9c2f8be4f67">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a9867e8510c14c88">
              <w:r>
                <w:rPr>
                  <w:rStyle w:val="Hyperlink"/>
                </w:rPr>
                <w:t xml:space="preserve">Disability Services NMDS 2014-15</w:t>
              </w:r>
            </w:hyperlink>
          </w:p>
          <w:p>
            <w:pPr>
              <w:pStyle w:val="registration-status"/>
              <w:spacing w:before="0" w:after="0"/>
            </w:pPr>
            <w:hyperlink w:history="true" r:id="R8eb286a4964c42ad">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b1e40544316471e">
              <w:r>
                <w:rPr>
                  <w:rStyle w:val="Hyperlink"/>
                </w:rPr>
                <w:t xml:space="preserve">Disability Services NMDS 2015–16</w:t>
              </w:r>
            </w:hyperlink>
          </w:p>
          <w:p>
            <w:pPr>
              <w:pStyle w:val="registration-status"/>
              <w:spacing w:before="0" w:after="0"/>
            </w:pPr>
            <w:hyperlink w:history="true" r:id="Recb87aa41116456b">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32ec3a01b854243">
              <w:r>
                <w:rPr>
                  <w:rStyle w:val="Hyperlink"/>
                </w:rPr>
                <w:t xml:space="preserve">Disability Services NMDS 2016–17</w:t>
              </w:r>
            </w:hyperlink>
          </w:p>
          <w:p>
            <w:pPr>
              <w:pStyle w:val="registration-status"/>
              <w:spacing w:before="0" w:after="0"/>
            </w:pPr>
            <w:hyperlink w:history="true" r:id="R4cd0c9f561294e06">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44660081e704bcc">
              <w:r>
                <w:rPr>
                  <w:rStyle w:val="Hyperlink"/>
                </w:rPr>
                <w:t xml:space="preserve">Disability Services NMDS 2017–18</w:t>
              </w:r>
            </w:hyperlink>
          </w:p>
          <w:p>
            <w:pPr>
              <w:pStyle w:val="registration-status"/>
              <w:spacing w:before="0" w:after="0"/>
            </w:pPr>
            <w:hyperlink w:history="true" r:id="R451979698f854b14">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ddc802a07f041da">
              <w:r>
                <w:rPr>
                  <w:rStyle w:val="Hyperlink"/>
                </w:rPr>
                <w:t xml:space="preserve">Disability Services NMDS 2018–19</w:t>
              </w:r>
            </w:hyperlink>
          </w:p>
          <w:p>
            <w:pPr>
              <w:pStyle w:val="registration-status"/>
              <w:spacing w:before="0" w:after="0"/>
            </w:pPr>
            <w:hyperlink w:history="true" r:id="Re12e935e420b42d3">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6d5d410cd4d4448">
              <w:r>
                <w:rPr>
                  <w:rStyle w:val="Hyperlink"/>
                </w:rPr>
                <w:t xml:space="preserve">Disability services provider details cluster</w:t>
              </w:r>
            </w:hyperlink>
          </w:p>
          <w:p>
            <w:pPr>
              <w:pStyle w:val="registration-status"/>
              <w:spacing w:before="0" w:after="0"/>
            </w:pPr>
            <w:hyperlink w:history="true" r:id="Rbb9d23d31d6e4c3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9dc821bc82b4f5a">
              <w:r>
                <w:rPr>
                  <w:rStyle w:val="Hyperlink"/>
                  <w:color w:val="244061"/>
                </w:rPr>
                <w:t xml:space="preserve">Disability</w:t>
              </w:r>
            </w:hyperlink>
            <w:r>
              <w:rPr>
                <w:rStyle w:val="row-content"/>
                <w:color w:val="244061"/>
              </w:rPr>
              <w:t xml:space="preserve">, Superseded 13/08/2015</w:t>
            </w:r>
          </w:p>
          <w:p>
            <w:r>
              <w:br/>
            </w:r>
            <w:hyperlink w:history="true" r:id="R1ca2435ba5be4fcc">
              <w:r>
                <w:rPr>
                  <w:rStyle w:val="Hyperlink"/>
                </w:rPr>
                <w:t xml:space="preserve">Disability services provider details cluster</w:t>
              </w:r>
            </w:hyperlink>
          </w:p>
          <w:p>
            <w:pPr>
              <w:pStyle w:val="registration-status"/>
              <w:spacing w:before="0" w:after="0"/>
            </w:pPr>
            <w:hyperlink w:history="true" r:id="Rb6a5705d3552466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98d69acae5440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47c3e01f0240e0">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89a483dc273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9faafb178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9a483dc2734758" /><Relationship Type="http://schemas.openxmlformats.org/officeDocument/2006/relationships/header" Target="/word/header1.xml" Id="Rb577170609c64f08" /><Relationship Type="http://schemas.openxmlformats.org/officeDocument/2006/relationships/settings" Target="/word/settings.xml" Id="R2cbf82fa5698460d" /><Relationship Type="http://schemas.openxmlformats.org/officeDocument/2006/relationships/styles" Target="/word/styles.xml" Id="Rbabb8f4408944c16" /><Relationship Type="http://schemas.openxmlformats.org/officeDocument/2006/relationships/hyperlink" Target="https://meteor-uat.aihw.gov.au/RegistrationAuthority/3" TargetMode="External" Id="Rd0bb932dc7734ebb" /><Relationship Type="http://schemas.openxmlformats.org/officeDocument/2006/relationships/hyperlink" Target="https://meteor-uat.aihw.gov.au/RegistrationAuthority/18" TargetMode="External" Id="R3bc18712fad84535" /><Relationship Type="http://schemas.openxmlformats.org/officeDocument/2006/relationships/hyperlink" Target="https://meteor-uat.aihw.gov.au/content/501973" TargetMode="External" Id="R51dd04314d704a42" /><Relationship Type="http://schemas.openxmlformats.org/officeDocument/2006/relationships/hyperlink" Target="https://meteor-uat.aihw.gov.au/content/461640" TargetMode="External" Id="R472386db27b449db" /><Relationship Type="http://schemas.openxmlformats.org/officeDocument/2006/relationships/hyperlink" Target="https://meteor-uat.aihw.gov.au/RegistrationAuthority/3" TargetMode="External" Id="Re388b9c2f8be4f67" /><Relationship Type="http://schemas.openxmlformats.org/officeDocument/2006/relationships/hyperlink" Target="https://meteor-uat.aihw.gov.au/content/569749" TargetMode="External" Id="Ra9867e8510c14c88" /><Relationship Type="http://schemas.openxmlformats.org/officeDocument/2006/relationships/hyperlink" Target="https://meteor-uat.aihw.gov.au/RegistrationAuthority/18" TargetMode="External" Id="R8eb286a4964c42ad" /><Relationship Type="http://schemas.openxmlformats.org/officeDocument/2006/relationships/hyperlink" Target="https://meteor-uat.aihw.gov.au/content/617391" TargetMode="External" Id="Rab1e40544316471e" /><Relationship Type="http://schemas.openxmlformats.org/officeDocument/2006/relationships/hyperlink" Target="https://meteor-uat.aihw.gov.au/RegistrationAuthority/18" TargetMode="External" Id="Recb87aa41116456b" /><Relationship Type="http://schemas.openxmlformats.org/officeDocument/2006/relationships/hyperlink" Target="https://meteor-uat.aihw.gov.au/content/637867" TargetMode="External" Id="R932ec3a01b854243" /><Relationship Type="http://schemas.openxmlformats.org/officeDocument/2006/relationships/hyperlink" Target="https://meteor-uat.aihw.gov.au/RegistrationAuthority/18" TargetMode="External" Id="R4cd0c9f561294e06" /><Relationship Type="http://schemas.openxmlformats.org/officeDocument/2006/relationships/hyperlink" Target="https://meteor-uat.aihw.gov.au/content/664954" TargetMode="External" Id="Rd44660081e704bcc" /><Relationship Type="http://schemas.openxmlformats.org/officeDocument/2006/relationships/hyperlink" Target="https://meteor-uat.aihw.gov.au/RegistrationAuthority/18" TargetMode="External" Id="R451979698f854b14" /><Relationship Type="http://schemas.openxmlformats.org/officeDocument/2006/relationships/hyperlink" Target="https://meteor-uat.aihw.gov.au/content/698074" TargetMode="External" Id="R1ddc802a07f041da" /><Relationship Type="http://schemas.openxmlformats.org/officeDocument/2006/relationships/hyperlink" Target="https://meteor-uat.aihw.gov.au/RegistrationAuthority/18" TargetMode="External" Id="Re12e935e420b42d3" /><Relationship Type="http://schemas.openxmlformats.org/officeDocument/2006/relationships/hyperlink" Target="https://meteor-uat.aihw.gov.au/content/484554" TargetMode="External" Id="Rb6d5d410cd4d4448" /><Relationship Type="http://schemas.openxmlformats.org/officeDocument/2006/relationships/hyperlink" Target="https://meteor-uat.aihw.gov.au/RegistrationAuthority/3" TargetMode="External" Id="Rbb9d23d31d6e4c35" /><Relationship Type="http://schemas.openxmlformats.org/officeDocument/2006/relationships/hyperlink" Target="https://meteor-uat.aihw.gov.au/RegistrationAuthority/18" TargetMode="External" Id="R49dc821bc82b4f5a" /><Relationship Type="http://schemas.openxmlformats.org/officeDocument/2006/relationships/hyperlink" Target="https://meteor-uat.aihw.gov.au/content/617065" TargetMode="External" Id="R1ca2435ba5be4fcc" /><Relationship Type="http://schemas.openxmlformats.org/officeDocument/2006/relationships/hyperlink" Target="https://meteor-uat.aihw.gov.au/RegistrationAuthority/18" TargetMode="External" Id="Rb6a5705d3552466f" /><Relationship Type="http://schemas.openxmlformats.org/officeDocument/2006/relationships/hyperlink" Target="https://meteor-uat.aihw.gov.au/content/430134" TargetMode="External" Id="R2b98d69acae54400" /><Relationship Type="http://schemas.openxmlformats.org/officeDocument/2006/relationships/hyperlink" Target="https://meteor-uat.aihw.gov.au/content/497726" TargetMode="External" Id="R9b47c3e01f0240e0" /></Relationships>
</file>

<file path=word/_rels/header1.xml.rels>&#65279;<?xml version="1.0" encoding="utf-8"?><Relationships xmlns="http://schemas.openxmlformats.org/package/2006/relationships"><Relationship Type="http://schemas.openxmlformats.org/officeDocument/2006/relationships/image" Target="/media/image.png" Id="R6db9faafb1784f5f" /></Relationships>
</file>