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8bf1d8313f4bc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f01523cda45af">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c34dfbfdf24ca1">
              <w:r>
                <w:rPr>
                  <w:rStyle w:val="Hyperlink"/>
                </w:rPr>
                <w:t xml:space="preserve">Episode of admitted patient care—clinical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cd546469e4acb">
              <w:r>
                <w:rPr>
                  <w:rStyle w:val="Hyperlink"/>
                </w:rPr>
                <w:t xml:space="preserve">Clinical assessment tool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Health of the Nation Outcome Scale 65+ (HoNOS 65+)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Health of the Nation Outcome Scale 65+ (HoNOS 65+)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of the Nation Outcome Scale 65+ (HoNOS 65+)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METeOR glossary items provide further information on the listed clinical assessment tools.</w:t>
            </w:r>
          </w:p>
          <w:p>
            <w:hyperlink w:history="true" r:id="Rd42f2c60cdf849df">
              <w:r>
                <w:rPr>
                  <w:rStyle w:val="Hyperlink"/>
                  <w:b/>
                </w:rPr>
                <w:t xml:space="preserve">Functional Independence Measure</w:t>
              </w:r>
            </w:hyperlink>
          </w:p>
          <w:p>
            <w:hyperlink w:history="true" r:id="Ra932a87ee5dd4b6b">
              <w:r>
                <w:rPr>
                  <w:rStyle w:val="Hyperlink"/>
                  <w:b/>
                </w:rPr>
                <w:t xml:space="preserve">Resource Utilisation Groups - Activities of Daily Living</w:t>
              </w:r>
            </w:hyperlink>
          </w:p>
          <w:p>
            <w:hyperlink w:history="true" r:id="Ra30a27c9b12e4d1c">
              <w:r>
                <w:rPr>
                  <w:rStyle w:val="Hyperlink"/>
                  <w:b/>
                </w:rPr>
                <w:t xml:space="preserve">Health of the Nation Outcome Scale 65+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a8792f85044b88">
              <w:r>
                <w:rPr>
                  <w:rStyle w:val="Hyperlink"/>
                </w:rPr>
                <w:t xml:space="preserve">Episode of admitted patient care—clinical assessment tool used, code AAAAAA</w:t>
              </w:r>
            </w:hyperlink>
          </w:p>
          <w:p>
            <w:pPr>
              <w:pStyle w:val="registration-status"/>
              <w:spacing w:before="0" w:after="0"/>
            </w:pPr>
            <w:hyperlink w:history="true" r:id="R7652f2440a2a421f">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971dc152886a4ee7">
              <w:r>
                <w:rPr>
                  <w:rStyle w:val="Hyperlink"/>
                </w:rPr>
                <w:t xml:space="preserve">Episode of admitted patient care—clinical assessment score, code NN</w:t>
              </w:r>
            </w:hyperlink>
          </w:p>
          <w:p>
            <w:pPr>
              <w:pStyle w:val="registration-status"/>
              <w:spacing w:before="0" w:after="0"/>
            </w:pPr>
            <w:hyperlink w:history="true" r:id="R3a72a7f19549497a">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716a8b42547ed">
              <w:r>
                <w:rPr>
                  <w:rStyle w:val="Hyperlink"/>
                </w:rPr>
                <w:t xml:space="preserve">Activity based funding: Admitted sub-acute and non-acute hospital care DSS 2013-2014</w:t>
              </w:r>
            </w:hyperlink>
          </w:p>
          <w:p>
            <w:pPr>
              <w:pStyle w:val="registration-status"/>
              <w:spacing w:before="0" w:after="0"/>
            </w:pPr>
            <w:hyperlink w:history="true" r:id="R7305cd8b53434e10">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tools are required to be reported:</w:t>
            </w:r>
          </w:p>
          <w:p>
            <w:pPr>
              <w:pStyle w:val="ListParagraph"/>
              <w:numPr>
                <w:ilvl w:val="0"/>
                <w:numId w:val="3"/>
              </w:numPr>
            </w:pPr>
            <w:r>
              <w:rPr>
                <w:rStyle w:val="row-content"/>
              </w:rPr>
              <w:t xml:space="preserve">The </w:t>
            </w:r>
            <w:hyperlink w:history="true" r:id="Rdf38c2d26fa24c25">
              <w:r>
                <w:rPr>
                  <w:rStyle w:val="Hyperlink"/>
                  <w:b/>
                </w:rPr>
                <w:t xml:space="preserve">Functional Independence Measure</w:t>
              </w:r>
            </w:hyperlink>
            <w:r>
              <w:rPr>
                <w:rStyle w:val="row-content"/>
              </w:rPr>
              <w:t xml:space="preserve"> motor subscale and social cognition subscale must be reported for episodes of admitted patient care with hospital service-care type, code N[N].N recorded as 2.0 rehabilitation care or 4.0 geriatric evaluation and management.</w:t>
            </w:r>
          </w:p>
          <w:p>
            <w:pPr>
              <w:pStyle w:val="ListParagraph"/>
              <w:numPr>
                <w:ilvl w:val="0"/>
                <w:numId w:val="3"/>
              </w:numPr>
            </w:pPr>
            <w:r>
              <w:rPr>
                <w:rStyle w:val="row-content"/>
              </w:rPr>
              <w:t xml:space="preserve">The </w:t>
            </w:r>
            <w:hyperlink w:history="true" r:id="R6549e21510f44025">
              <w:r>
                <w:rPr>
                  <w:rStyle w:val="Hyperlink"/>
                  <w:b/>
                </w:rPr>
                <w:t xml:space="preserve">Resource Utilisation Groups -Activities of Daily Living</w:t>
              </w:r>
            </w:hyperlink>
            <w:r>
              <w:rPr>
                <w:rStyle w:val="row-content"/>
              </w:rPr>
              <w:t xml:space="preserve"> total must be reported for episodes of admitted patient care with hospital service-care type, code N[N].N recorded as 3.0 palliative care or 6.0 maintenance care.</w:t>
            </w:r>
          </w:p>
          <w:p>
            <w:pPr>
              <w:pStyle w:val="ListParagraph"/>
              <w:numPr>
                <w:ilvl w:val="0"/>
                <w:numId w:val="3"/>
              </w:numPr>
            </w:pPr>
            <w:r>
              <w:rPr>
                <w:rStyle w:val="row-content"/>
              </w:rPr>
              <w:t xml:space="preserve">The </w:t>
            </w:r>
            <w:hyperlink w:history="true" r:id="R91254b955b6b4f84">
              <w:r>
                <w:rPr>
                  <w:rStyle w:val="Hyperlink"/>
                  <w:b/>
                </w:rPr>
                <w:t xml:space="preserve">Health of the Nation Outcome Scale 65+</w:t>
              </w:r>
            </w:hyperlink>
            <w:r>
              <w:rPr>
                <w:rStyle w:val="row-content"/>
              </w:rPr>
              <w:t xml:space="preserve"> activities of daily living scale , overactive, aggressive, disruptive behaviour scale and the total must be reported for episodes of admitted patient care with hospital service-care type, code N[N].N recorded as 5.0 psychogeriatric care. </w:t>
            </w:r>
          </w:p>
          <w:p>
            <w:r>
              <w:rPr>
                <w:rStyle w:val="row-content"/>
              </w:rPr>
              <w:t xml:space="preserve">For episodes of admitted patient care with hospital service-care type, code N[N].N recorded as 3.0 palliative care, the </w:t>
            </w:r>
            <w:hyperlink w:history="true" r:id="R8c9a3acea9894c53">
              <w:r>
                <w:rPr>
                  <w:rStyle w:val="Hyperlink"/>
                  <w:b/>
                </w:rPr>
                <w:t xml:space="preserve">Resource Utilisation Groups -Activities of Daily Living</w:t>
              </w:r>
            </w:hyperlink>
            <w:r>
              <w:rPr>
                <w:rStyle w:val="row-content"/>
              </w:rPr>
              <w:t xml:space="preserve"> total must be reported for each </w:t>
            </w:r>
            <w:hyperlink w:history="true" r:id="R7cdb119d5e4b41de">
              <w:r>
                <w:rPr>
                  <w:rStyle w:val="Hyperlink"/>
                  <w:b/>
                </w:rPr>
                <w:t xml:space="preserve">palliative care phase</w:t>
              </w:r>
            </w:hyperlink>
            <w:r>
              <w:rPr>
                <w:rStyle w:val="row-content"/>
              </w:rPr>
              <w:t xml:space="preserve"> if the episode of admitted patient care had more than one phase.</w:t>
            </w:r>
          </w:p>
          <w:p>
            <w:r>
              <w:rPr>
                <w:rStyle w:val="row-content"/>
              </w:rPr>
              <w:t xml:space="preserve">The type of clinical assessment tool must be collected at the commencement of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c729a07e1fe0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90d0310e6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a07e1fe04d15" /><Relationship Type="http://schemas.openxmlformats.org/officeDocument/2006/relationships/header" Target="/word/header1.xml" Id="Raaa42803dd4446df" /><Relationship Type="http://schemas.openxmlformats.org/officeDocument/2006/relationships/settings" Target="/word/settings.xml" Id="Rc0db6d0630324654" /><Relationship Type="http://schemas.openxmlformats.org/officeDocument/2006/relationships/styles" Target="/word/styles.xml" Id="Rcacceeae64b4403a" /><Relationship Type="http://schemas.openxmlformats.org/officeDocument/2006/relationships/numbering" Target="/word/numbering.xml" Id="R0d1486411f3e4e8c" /><Relationship Type="http://schemas.openxmlformats.org/officeDocument/2006/relationships/hyperlink" Target="https://meteor-uat.aihw.gov.au/RegistrationAuthority/6" TargetMode="External" Id="R0e9f01523cda45af" /><Relationship Type="http://schemas.openxmlformats.org/officeDocument/2006/relationships/hyperlink" Target="https://meteor-uat.aihw.gov.au/content/477785" TargetMode="External" Id="R35c34dfbfdf24ca1" /><Relationship Type="http://schemas.openxmlformats.org/officeDocument/2006/relationships/hyperlink" Target="https://meteor-uat.aihw.gov.au/content/497406" TargetMode="External" Id="Ra31cd546469e4acb" /><Relationship Type="http://schemas.openxmlformats.org/officeDocument/2006/relationships/hyperlink" Target="https://meteor-uat.aihw.gov.au/content/495857" TargetMode="External" Id="Rd42f2c60cdf849df" /><Relationship Type="http://schemas.openxmlformats.org/officeDocument/2006/relationships/hyperlink" Target="https://meteor-uat.aihw.gov.au/content/495909" TargetMode="External" Id="Ra932a87ee5dd4b6b" /><Relationship Type="http://schemas.openxmlformats.org/officeDocument/2006/relationships/hyperlink" Target="https://meteor-uat.aihw.gov.au/content/495880" TargetMode="External" Id="Ra30a27c9b12e4d1c" /><Relationship Type="http://schemas.openxmlformats.org/officeDocument/2006/relationships/hyperlink" Target="https://meteor-uat.aihw.gov.au/content/477799" TargetMode="External" Id="R3fa8792f85044b88" /><Relationship Type="http://schemas.openxmlformats.org/officeDocument/2006/relationships/hyperlink" Target="https://meteor-uat.aihw.gov.au/RegistrationAuthority/6" TargetMode="External" Id="R7652f2440a2a421f" /><Relationship Type="http://schemas.openxmlformats.org/officeDocument/2006/relationships/hyperlink" Target="https://meteor-uat.aihw.gov.au/content/497302" TargetMode="External" Id="R971dc152886a4ee7" /><Relationship Type="http://schemas.openxmlformats.org/officeDocument/2006/relationships/hyperlink" Target="https://meteor-uat.aihw.gov.au/RegistrationAuthority/6" TargetMode="External" Id="R3a72a7f19549497a" /><Relationship Type="http://schemas.openxmlformats.org/officeDocument/2006/relationships/hyperlink" Target="https://meteor-uat.aihw.gov.au/content/496358" TargetMode="External" Id="Rcda716a8b42547ed" /><Relationship Type="http://schemas.openxmlformats.org/officeDocument/2006/relationships/hyperlink" Target="https://meteor-uat.aihw.gov.au/RegistrationAuthority/6" TargetMode="External" Id="R7305cd8b53434e10" /><Relationship Type="http://schemas.openxmlformats.org/officeDocument/2006/relationships/hyperlink" Target="https://meteor-uat.aihw.gov.au/content/495857" TargetMode="External" Id="Rdf38c2d26fa24c25" /><Relationship Type="http://schemas.openxmlformats.org/officeDocument/2006/relationships/hyperlink" Target="https://meteor-uat.aihw.gov.au/content/495909" TargetMode="External" Id="R6549e21510f44025" /><Relationship Type="http://schemas.openxmlformats.org/officeDocument/2006/relationships/hyperlink" Target="https://meteor-uat.aihw.gov.au/content/495880" TargetMode="External" Id="R91254b955b6b4f84" /><Relationship Type="http://schemas.openxmlformats.org/officeDocument/2006/relationships/hyperlink" Target="https://meteor-uat.aihw.gov.au/content/495909" TargetMode="External" Id="R8c9a3acea9894c53" /><Relationship Type="http://schemas.openxmlformats.org/officeDocument/2006/relationships/hyperlink" Target="https://meteor-uat.aihw.gov.au/content/497358" TargetMode="External" Id="R7cdb119d5e4b41de" /></Relationships>
</file>

<file path=word/_rels/header1.xml.rels>&#65279;<?xml version="1.0" encoding="utf-8"?><Relationships xmlns="http://schemas.openxmlformats.org/package/2006/relationships"><Relationship Type="http://schemas.openxmlformats.org/officeDocument/2006/relationships/image" Target="/media/image.png" Id="Re8b90d0310e64700" /></Relationships>
</file>