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4dca185404684"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sub-acute and non-acute hospital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sub-acute and non-acute hospital care DSS 2013-2014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35e815c0a994d1d">
                    <w:r>
                      <w:rPr>
                        <w:rStyle w:val="Hyperlink"/>
                      </w:rPr>
                      <w:t xml:space="preserve">Admitted patient care NMDS 2013-14</w:t>
                    </w:r>
                  </w:hyperlink>
                </w:p>
              </w:tc>
              <w:tc>
                <w:tcPr>
                  <w:vAlign w:val="top"/>
                </w:tcPr>
                <w:p>
                  <w:r>
                    <w:t xml:space="preserve">491555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4613bb1a36a409e">
                    <w:r>
                      <w:rPr>
                        <w:rStyle w:val="Hyperlink"/>
                      </w:rPr>
                      <w:t xml:space="preserve">Elective surgery waiting times cluster</w:t>
                    </w:r>
                  </w:hyperlink>
                </w:p>
              </w:tc>
              <w:tc>
                <w:tcPr>
                  <w:vAlign w:val="top"/>
                </w:tcPr>
                <w:p>
                  <w:r>
                    <w:t xml:space="preserve">464669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50ae77b3c634cf6">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fa899ffe17e94518">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a898873f9ca48a7">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705a2a1386548af">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3ca1f25a18e4ed8">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14d4a283532478f">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db9caea0e8c4ab9">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ad76d0f91174bbf">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5ce753b9bdfb47d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6cf49a6db30429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1f333b34dce4244">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9be5407db1b494d">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bf4b1c86fe0458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3e673d22cb742db">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628428370ba447f">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1bae136890481b">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5eecffcafe4100">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bff57f1f22b4b9b">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1fd20e0cb44e9e">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083bb81341c54ce9">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5a2e09218494a5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0edc081e1254e5d">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574452c8fa54d56">
                    <w:r>
                      <w:rPr>
                        <w:rStyle w:val="Hyperlink"/>
                      </w:rPr>
                      <w:t xml:space="preserve">Procedure</w:t>
                    </w:r>
                  </w:hyperlink>
                </w:p>
              </w:tc>
              <w:tc>
                <w:tcPr>
                  <w:vAlign w:val="top"/>
                </w:tcPr>
                <w:p>
                  <w:r>
                    <w:t xml:space="preserve">514040</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f4dc6805fc0e4f23">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06d01677df46ae">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27f429259f44237">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951ee9427d4e97">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ccc5283266df4548">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049b8d80594c0d">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8d7dcca7fd406a">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4196812fd9694a7a">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1c567b237e94571">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8df201e8b9464d">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1af66d73164c07">
                    <w:r>
                      <w:rPr>
                        <w:rStyle w:val="Hyperlink"/>
                      </w:rPr>
                      <w:t xml:space="preserve">Geographic remoteness—admitted patient care</w:t>
                    </w:r>
                  </w:hyperlink>
                </w:p>
              </w:tc>
              <w:tc>
                <w:tcPr>
                  <w:vAlign w:val="top"/>
                </w:tcPr>
                <w:p>
                  <w:r>
                    <w:t xml:space="preserve">461473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c6f8d783f348c7">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9b141ed0a27459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a653147faae41e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91f797f2824104">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32126ad5d5497d">
                    <w:r>
                      <w:rPr>
                        <w:rStyle w:val="Hyperlink"/>
                      </w:rPr>
                      <w:t xml:space="preserve">Activity when injured</w:t>
                    </w:r>
                  </w:hyperlink>
                </w:p>
              </w:tc>
              <w:tc>
                <w:tcPr>
                  <w:vAlign w:val="top"/>
                </w:tcPr>
                <w:p>
                  <w:r>
                    <w:t xml:space="preserve">514277</w:t>
                  </w:r>
                </w:p>
              </w:tc>
              <w:tc>
                <w:tcPr>
                  <w:vAlign w:val="top"/>
                </w:tcPr>
                <w:p>
                  <w:r>
                    <w:t xml:space="preserve">String
[5]</w:t>
                  </w:r>
                </w:p>
              </w:tc>
              <w:tc>
                <w:tcPr>
                  <w:vAlign w:val="top"/>
                </w:tcPr>
                <w:p>
                  <w:r>
                    <w:t xml:space="preserve">ANNNN</w:t>
                  </w:r>
                  <w:r>
                    <w:br/>
                  </w:r>
                  <w:r>
                    <w:t xml:space="preserve">The ICD-10-AM (8th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b08459eaa5954f2b">
                    <w:r>
                      <w:rPr>
                        <w:rStyle w:val="Hyperlink"/>
                      </w:rPr>
                      <w:t xml:space="preserve">External cause</w:t>
                    </w:r>
                  </w:hyperlink>
                </w:p>
              </w:tc>
              <w:tc>
                <w:tcPr>
                  <w:vAlign w:val="top"/>
                </w:tcPr>
                <w:p>
                  <w:r>
                    <w:t xml:space="preserve">514295</w:t>
                  </w:r>
                </w:p>
              </w:tc>
              <w:tc>
                <w:tcPr>
                  <w:vAlign w:val="top"/>
                </w:tcPr>
                <w:p>
                  <w:r>
                    <w:t xml:space="preserve">String
[6]</w:t>
                  </w:r>
                </w:p>
              </w:tc>
              <w:tc>
                <w:tcPr>
                  <w:vAlign w:val="top"/>
                </w:tcPr>
                <w:p>
                  <w:r>
                    <w:t xml:space="preserve">ANN{.N[N]}</w:t>
                  </w:r>
                  <w:r>
                    <w:br/>
                  </w:r>
                  <w:r>
                    <w:t xml:space="preserve">The ICD-10-AM (8th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3566c60f49f54d20">
                    <w:r>
                      <w:rPr>
                        <w:rStyle w:val="Hyperlink"/>
                      </w:rPr>
                      <w:t xml:space="preserve">Place of occurrence of external cause of injury (ICD-10-AM)</w:t>
                    </w:r>
                  </w:hyperlink>
                </w:p>
              </w:tc>
              <w:tc>
                <w:tcPr>
                  <w:vAlign w:val="top"/>
                </w:tcPr>
                <w:p>
                  <w:r>
                    <w:t xml:space="preserve">514302</w:t>
                  </w:r>
                </w:p>
              </w:tc>
              <w:tc>
                <w:tcPr>
                  <w:vAlign w:val="top"/>
                </w:tcPr>
                <w:p>
                  <w:r>
                    <w:t xml:space="preserve">String
[6]</w:t>
                  </w:r>
                </w:p>
              </w:tc>
              <w:tc>
                <w:tcPr>
                  <w:vAlign w:val="top"/>
                </w:tcPr>
                <w:p>
                  <w:r>
                    <w:t xml:space="preserve">ANN{.N[N]}</w:t>
                  </w:r>
                  <w:r>
                    <w:br/>
                  </w:r>
                  <w:r>
                    <w:t xml:space="preserve">The ICD-10-AM (8th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d474a58ecb5f4265">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87f9f2b8984d1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2cb4412ba326440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07ff3718be254ff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1714224fd984f8d">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e4c9b8eee0428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ac3d68ed4d49b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43d6283c3df410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d6035fcdb94ea6">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65604b357e114846">
                    <w:r>
                      <w:rPr>
                        <w:rStyle w:val="Hyperlink"/>
                      </w:rPr>
                      <w:t xml:space="preserve">Record identifier (15 character maximum)</w:t>
                    </w:r>
                  </w:hyperlink>
                </w:p>
              </w:tc>
              <w:tc>
                <w:tcPr>
                  <w:vAlign w:val="top"/>
                </w:tcPr>
                <w:p>
                  <w:r>
                    <w:t xml:space="preserve">459234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7a7ef4c6aaa4b2a">
                    <w:r>
                      <w:rPr>
                        <w:rStyle w:val="Hyperlink"/>
                      </w:rPr>
                      <w:t xml:space="preserve">Australian national sub-acute and non-acute patient class</w:t>
                    </w:r>
                  </w:hyperlink>
                </w:p>
              </w:tc>
              <w:tc>
                <w:tcPr>
                  <w:vAlign w:val="top"/>
                </w:tcPr>
                <w:p>
                  <w:r>
                    <w:t xml:space="preserve">496378</w:t>
                  </w:r>
                </w:p>
              </w:tc>
              <w:tc>
                <w:tcPr>
                  <w:vAlign w:val="top"/>
                </w:tcPr>
                <w:p>
                  <w:r>
                    <w:t xml:space="preserve">Number
[3]</w:t>
                  </w:r>
                </w:p>
              </w:tc>
              <w:tc>
                <w:tcPr>
                  <w:vAlign w:val="top"/>
                </w:tcPr>
                <w:p>
                  <w:r>
                    <w:t xml:space="preserve">NNN</w:t>
                  </w:r>
                  <w:r>
                    <w:br/>
                  </w:r>
                  <w:r>
                    <w:t xml:space="preserve">The code set (version 1) describing the Australian National Sub-acute and Non-Acute Patient (AN-SNAP) class to which an episode of care is assigned.</w:t>
                  </w:r>
                </w:p>
              </w:tc>
            </w:tr>
            <w:tr>
              <w:trPr/>
              <w:tc>
                <w:tcPr>
                  <w:tcMar>
                    <w:right w:w="29" w:type="dxa"/>
                  </w:tcMar>
                  <w:vAlign w:val="top"/>
                </w:tcPr>
                <w:p>
                  <w:pPr>
                    <w:keepNext/>
                    <w:jc w:val="center"/>
                  </w:pPr>
                  <w:r>
                    <w:t xml:space="preserve">-</w:t>
                  </w:r>
                </w:p>
              </w:tc>
              <w:tc>
                <w:tcPr>
                  <w:tcMar/>
                  <w:vAlign w:val="top"/>
                </w:tcPr>
                <w:p>
                  <w:hyperlink w:history="true" r:id="Re0e1f486375d4f4e">
                    <w:r>
                      <w:rPr>
                        <w:rStyle w:val="Hyperlink"/>
                      </w:rPr>
                      <w:t xml:space="preserve">Australian national sub-acute and non-acute patient class</w:t>
                    </w:r>
                  </w:hyperlink>
                </w:p>
              </w:tc>
              <w:tc>
                <w:tcPr>
                  <w:vAlign w:val="top"/>
                </w:tcPr>
                <w:p>
                  <w:r>
                    <w:t xml:space="preserve">496391</w:t>
                  </w:r>
                </w:p>
              </w:tc>
              <w:tc>
                <w:tcPr>
                  <w:vAlign w:val="top"/>
                </w:tcPr>
                <w:p>
                  <w:r>
                    <w:t xml:space="preserve">Number
[4]</w:t>
                  </w:r>
                </w:p>
              </w:tc>
              <w:tc>
                <w:tcPr>
                  <w:vAlign w:val="top"/>
                </w:tcPr>
                <w:p>
                  <w:r>
                    <w:t xml:space="preserve">NNNN</w:t>
                  </w:r>
                  <w:r>
                    <w:br/>
                  </w:r>
                  <w:r>
                    <w:t xml:space="preserve">The code set (version 2) describing the Australian National Sub-acute and Non-Acute Patient (AN-SNAP) class to which an episode of care is assigned.</w:t>
                  </w:r>
                </w:p>
              </w:tc>
            </w:tr>
            <w:tr>
              <w:trPr/>
              <w:tc>
                <w:tcPr>
                  <w:tcMar>
                    <w:right w:w="29" w:type="dxa"/>
                  </w:tcMar>
                  <w:vAlign w:val="top"/>
                </w:tcPr>
                <w:p>
                  <w:pPr>
                    <w:keepNext/>
                    <w:jc w:val="center"/>
                  </w:pPr>
                  <w:r>
                    <w:t xml:space="preserve">-</w:t>
                  </w:r>
                </w:p>
              </w:tc>
              <w:tc>
                <w:tcPr>
                  <w:tcMar/>
                  <w:vAlign w:val="top"/>
                </w:tcPr>
                <w:p>
                  <w:hyperlink w:history="true" r:id="R07247916570c4bae">
                    <w:r>
                      <w:rPr>
                        <w:rStyle w:val="Hyperlink"/>
                      </w:rPr>
                      <w:t xml:space="preserve">Australian national sub-acute and non-acute patient class</w:t>
                    </w:r>
                  </w:hyperlink>
                </w:p>
              </w:tc>
              <w:tc>
                <w:tcPr>
                  <w:vAlign w:val="top"/>
                </w:tcPr>
                <w:p>
                  <w:r>
                    <w:t xml:space="preserve">496407</w:t>
                  </w:r>
                </w:p>
              </w:tc>
              <w:tc>
                <w:tcPr>
                  <w:vAlign w:val="top"/>
                </w:tcPr>
                <w:p>
                  <w:r>
                    <w:t xml:space="preserve">Number
[4]</w:t>
                  </w:r>
                </w:p>
              </w:tc>
              <w:tc>
                <w:tcPr>
                  <w:vAlign w:val="top"/>
                </w:tcPr>
                <w:p>
                  <w:r>
                    <w:t xml:space="preserve">NNNN</w:t>
                  </w:r>
                  <w:r>
                    <w:br/>
                  </w:r>
                  <w:r>
                    <w:t xml:space="preserve">The code set (version 3) describing the Australian National Sub-acute and Non-Acute Patient (AN-SNAP) class to which an episode of care is assigned.</w:t>
                  </w:r>
                </w:p>
              </w:tc>
            </w:tr>
            <w:tr>
              <w:trPr/>
              <w:tc>
                <w:tcPr>
                  <w:tcMar>
                    <w:right w:w="29" w:type="dxa"/>
                  </w:tcMar>
                  <w:vAlign w:val="top"/>
                </w:tcPr>
                <w:p>
                  <w:pPr>
                    <w:keepNext/>
                    <w:jc w:val="center"/>
                  </w:pPr>
                  <w:r>
                    <w:t xml:space="preserve">-</w:t>
                  </w:r>
                </w:p>
              </w:tc>
              <w:tc>
                <w:tcPr>
                  <w:tcMar/>
                  <w:vAlign w:val="top"/>
                </w:tcPr>
                <w:p>
                  <w:hyperlink w:history="true" r:id="R8304795527e84db2">
                    <w:r>
                      <w:rPr>
                        <w:rStyle w:val="Hyperlink"/>
                      </w:rPr>
                      <w:t xml:space="preserve">Clinical assessment only indicator</w:t>
                    </w:r>
                  </w:hyperlink>
                </w:p>
              </w:tc>
              <w:tc>
                <w:tcPr>
                  <w:vAlign w:val="top"/>
                </w:tcPr>
                <w:p>
                  <w:r>
                    <w:t xml:space="preserve">471807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389261e4c87423e">
                    <w:r>
                      <w:rPr>
                        <w:rStyle w:val="Hyperlink"/>
                      </w:rPr>
                      <w:t xml:space="preserve">Clinical assessment score</w:t>
                    </w:r>
                  </w:hyperlink>
                </w:p>
              </w:tc>
              <w:tc>
                <w:tcPr>
                  <w:vAlign w:val="top"/>
                </w:tcPr>
                <w:p>
                  <w:r>
                    <w:t xml:space="preserve">497302</w:t>
                  </w:r>
                </w:p>
              </w:tc>
              <w:tc>
                <w:tcPr>
                  <w:vAlign w:val="top"/>
                </w:tcPr>
                <w:p>
                  <w:r>
                    <w:t xml:space="preserve">String
[2]</w:t>
                  </w:r>
                </w:p>
              </w:tc>
              <w:tc>
                <w:tcPr>
                  <w:vAlign w:val="top"/>
                </w:tcPr>
                <w:p>
                  <w:r>
                    <w:t xml:space="preserve">NN</w:t>
                  </w:r>
                  <w:r>
                    <w:br/>
                  </w:r>
                  <w:r>
                    <w:t xml:space="preserve">A score representing the functional status of a patient at the time of clinical assessment, measured via the application of an appropriate assessment scale or method.</w:t>
                  </w:r>
                </w:p>
              </w:tc>
            </w:tr>
            <w:tr>
              <w:trPr/>
              <w:tc>
                <w:tcPr>
                  <w:tcMar>
                    <w:right w:w="29" w:type="dxa"/>
                  </w:tcMar>
                  <w:vAlign w:val="top"/>
                </w:tcPr>
                <w:p>
                  <w:pPr>
                    <w:keepNext/>
                    <w:jc w:val="center"/>
                  </w:pPr>
                  <w:r>
                    <w:t xml:space="preserve">-</w:t>
                  </w:r>
                </w:p>
              </w:tc>
              <w:tc>
                <w:tcPr>
                  <w:tcMar/>
                  <w:vAlign w:val="top"/>
                </w:tcPr>
                <w:p>
                  <w:hyperlink w:history="true" r:id="R1cb5c2821ad84428">
                    <w:r>
                      <w:rPr>
                        <w:rStyle w:val="Hyperlink"/>
                      </w:rPr>
                      <w:t xml:space="preserve">Clinical assessment tool</w:t>
                    </w:r>
                  </w:hyperlink>
                </w:p>
              </w:tc>
              <w:tc>
                <w:tcPr>
                  <w:vAlign w:val="top"/>
                </w:tcPr>
                <w:p>
                  <w:r>
                    <w:t xml:space="preserve">497304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Functional Independence Measure (FIM) - Motor subscale total</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Functional Independence Measure (FIM) - Social cognition subscale total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Resource Utilisation Groups - Activities of Daily Living (RUG-ADL) total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Health of the Nation Outcome Scale 65+ (HoNOS 65+) total</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Health of the Nation Outcome Scale 65+ (HoNOS 65+) Problems with Activities of Daily Living</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Health of the Nation Outcome Scale 65+ (HoNOS 65+) Overactive, Aggressive, Disruptive Behaviour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c8f15431d24224">
                    <w:r>
                      <w:rPr>
                        <w:rStyle w:val="Hyperlink"/>
                      </w:rPr>
                      <w:t xml:space="preserve">Palliative care phase</w:t>
                    </w:r>
                  </w:hyperlink>
                </w:p>
              </w:tc>
              <w:tc>
                <w:tcPr>
                  <w:vAlign w:val="top"/>
                </w:tcPr>
                <w:p>
                  <w:r>
                    <w:t xml:space="preserve">445942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7d694612cc214de7">
                    <w:r>
                      <w:rPr>
                        <w:rStyle w:val="Hyperlink"/>
                      </w:rPr>
                      <w:t xml:space="preserve">Palliative care phase end date</w:t>
                    </w:r>
                  </w:hyperlink>
                </w:p>
              </w:tc>
              <w:tc>
                <w:tcPr>
                  <w:vAlign w:val="top"/>
                </w:tcPr>
                <w:p>
                  <w:r>
                    <w:t xml:space="preserve">445598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3be2ffe8a79452a">
                    <w:r>
                      <w:rPr>
                        <w:rStyle w:val="Hyperlink"/>
                      </w:rPr>
                      <w:t xml:space="preserve">Palliative care phase start date</w:t>
                    </w:r>
                  </w:hyperlink>
                </w:p>
              </w:tc>
              <w:tc>
                <w:tcPr>
                  <w:vAlign w:val="top"/>
                </w:tcPr>
                <w:p>
                  <w:r>
                    <w:t xml:space="preserve">445848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6eda63049ca4bee">
                    <w:r>
                      <w:rPr>
                        <w:rStyle w:val="Hyperlink"/>
                      </w:rPr>
                      <w:t xml:space="preserve">Primary impairment type (AROC 2012 code)</w:t>
                    </w:r>
                  </w:hyperlink>
                </w:p>
              </w:tc>
              <w:tc>
                <w:tcPr>
                  <w:vAlign w:val="top"/>
                </w:tcPr>
                <w:p>
                  <w:r>
                    <w:t xml:space="preserve">498519</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593378ba69194b9e">
                    <w:r>
                      <w:rPr>
                        <w:rStyle w:val="Hyperlink"/>
                      </w:rPr>
                      <w:t xml:space="preserve">Type of maintenance care provided</w:t>
                    </w:r>
                  </w:hyperlink>
                </w:p>
              </w:tc>
              <w:tc>
                <w:tcPr>
                  <w:vAlign w:val="top"/>
                </w:tcPr>
                <w:p>
                  <w:r>
                    <w:t xml:space="preserve">496467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Convalescent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Nursing home type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bade56af52a468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2c918b945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de56af52a4682" /><Relationship Type="http://schemas.openxmlformats.org/officeDocument/2006/relationships/header" Target="/word/header1.xml" Id="Rec5e3df757874158" /><Relationship Type="http://schemas.openxmlformats.org/officeDocument/2006/relationships/settings" Target="/word/settings.xml" Id="R453038b8c4ea457d" /><Relationship Type="http://schemas.openxmlformats.org/officeDocument/2006/relationships/styles" Target="/word/styles.xml" Id="R2efbe853e60f4591" /><Relationship Type="http://schemas.openxmlformats.org/officeDocument/2006/relationships/hyperlink" Target="https://meteor-uat.aihw.gov.au/content/491555" TargetMode="External" Id="Rf35e815c0a994d1d" /><Relationship Type="http://schemas.openxmlformats.org/officeDocument/2006/relationships/hyperlink" Target="https://meteor-uat.aihw.gov.au/content/464669" TargetMode="External" Id="Rd4613bb1a36a409e" /><Relationship Type="http://schemas.openxmlformats.org/officeDocument/2006/relationships/hyperlink" Target="https://meteor-uat.aihw.gov.au/content/269957" TargetMode="External" Id="R150ae77b3c634cf6" /><Relationship Type="http://schemas.openxmlformats.org/officeDocument/2006/relationships/hyperlink" Target="https://meteor-uat.aihw.gov.au/content/270008" TargetMode="External" Id="Rfa899ffe17e94518" /><Relationship Type="http://schemas.openxmlformats.org/officeDocument/2006/relationships/hyperlink" Target="https://meteor-uat.aihw.gov.au/content/269964" TargetMode="External" Id="R2a898873f9ca48a7" /><Relationship Type="http://schemas.openxmlformats.org/officeDocument/2006/relationships/hyperlink" Target="https://meteor-uat.aihw.gov.au/content/472513" TargetMode="External" Id="Re705a2a1386548af" /><Relationship Type="http://schemas.openxmlformats.org/officeDocument/2006/relationships/hyperlink" Target="https://meteor-uat.aihw.gov.au/content/471710" TargetMode="External" Id="R83ca1f25a18e4ed8" /><Relationship Type="http://schemas.openxmlformats.org/officeDocument/2006/relationships/hyperlink" Target="https://meteor-uat.aihw.gov.au/content/471735" TargetMode="External" Id="R914d4a283532478f" /><Relationship Type="http://schemas.openxmlformats.org/officeDocument/2006/relationships/hyperlink" Target="https://meteor-uat.aihw.gov.au/content/270146" TargetMode="External" Id="R3db9caea0e8c4ab9" /><Relationship Type="http://schemas.openxmlformats.org/officeDocument/2006/relationships/hyperlink" Target="https://meteor-uat.aihw.gov.au/content/471744" TargetMode="External" Id="Rfad76d0f91174bbf" /><Relationship Type="http://schemas.openxmlformats.org/officeDocument/2006/relationships/hyperlink" Target="https://meteor-uat.aihw.gov.au/content/269973" TargetMode="External" Id="R5ce753b9bdfb47d8" /><Relationship Type="http://schemas.openxmlformats.org/officeDocument/2006/relationships/hyperlink" Target="https://meteor-uat.aihw.gov.au/content/429894" TargetMode="External" Id="Rb6cf49a6db304293" /><Relationship Type="http://schemas.openxmlformats.org/officeDocument/2006/relationships/hyperlink" Target="https://meteor-uat.aihw.gov.au/content/270013" TargetMode="External" Id="Rf1f333b34dce4244" /><Relationship Type="http://schemas.openxmlformats.org/officeDocument/2006/relationships/hyperlink" Target="https://meteor-uat.aihw.gov.au/content/270033" TargetMode="External" Id="R69be5407db1b494d" /><Relationship Type="http://schemas.openxmlformats.org/officeDocument/2006/relationships/hyperlink" Target="https://meteor-uat.aihw.gov.au/content/269967" TargetMode="External" Id="Rebf4b1c86fe04589" /><Relationship Type="http://schemas.openxmlformats.org/officeDocument/2006/relationships/hyperlink" Target="https://meteor-uat.aihw.gov.au/content/269976" TargetMode="External" Id="R93e673d22cb742db" /><Relationship Type="http://schemas.openxmlformats.org/officeDocument/2006/relationships/hyperlink" Target="https://meteor-uat.aihw.gov.au/content/269986" TargetMode="External" Id="Rf628428370ba447f" /><Relationship Type="http://schemas.openxmlformats.org/officeDocument/2006/relationships/hyperlink" Target="https://meteor-uat.aihw.gov.au/content/496512" TargetMode="External" Id="R881bae136890481b" /><Relationship Type="http://schemas.openxmlformats.org/officeDocument/2006/relationships/hyperlink" Target="https://meteor-uat.aihw.gov.au/content/479010" TargetMode="External" Id="R6a5eecffcafe4100" /><Relationship Type="http://schemas.openxmlformats.org/officeDocument/2006/relationships/hyperlink" Target="https://meteor-uat.aihw.gov.au/content/270399" TargetMode="External" Id="R8bff57f1f22b4b9b" /><Relationship Type="http://schemas.openxmlformats.org/officeDocument/2006/relationships/hyperlink" Target="https://meteor-uat.aihw.gov.au/content/471553" TargetMode="External" Id="R8d1fd20e0cb44e9e" /><Relationship Type="http://schemas.openxmlformats.org/officeDocument/2006/relationships/hyperlink" Target="https://meteor-uat.aihw.gov.au/content/270305" TargetMode="External" Id="R083bb81341c54ce9" /><Relationship Type="http://schemas.openxmlformats.org/officeDocument/2006/relationships/hyperlink" Target="https://meteor-uat.aihw.gov.au/content/270251" TargetMode="External" Id="R05a2e09218494a5b" /><Relationship Type="http://schemas.openxmlformats.org/officeDocument/2006/relationships/hyperlink" Target="https://meteor-uat.aihw.gov.au/content/326619" TargetMode="External" Id="R10edc081e1254e5d" /><Relationship Type="http://schemas.openxmlformats.org/officeDocument/2006/relationships/hyperlink" Target="https://meteor-uat.aihw.gov.au/content/514040" TargetMode="External" Id="R9574452c8fa54d56" /><Relationship Type="http://schemas.openxmlformats.org/officeDocument/2006/relationships/hyperlink" Target="https://meteor-uat.aihw.gov.au/content/269947" TargetMode="External" Id="Rf4dc6805fc0e4f23" /><Relationship Type="http://schemas.openxmlformats.org/officeDocument/2006/relationships/hyperlink" Target="https://meteor-uat.aihw.gov.au/content/270025" TargetMode="External" Id="R7b06d01677df46ae" /><Relationship Type="http://schemas.openxmlformats.org/officeDocument/2006/relationships/hyperlink" Target="https://meteor-uat.aihw.gov.au/content/270094" TargetMode="External" Id="Rc27f429259f44237" /><Relationship Type="http://schemas.openxmlformats.org/officeDocument/2006/relationships/hyperlink" Target="https://meteor-uat.aihw.gov.au/content/514271" TargetMode="External" Id="R2c951ee9427d4e97" /><Relationship Type="http://schemas.openxmlformats.org/officeDocument/2006/relationships/hyperlink" Target="https://meteor-uat.aihw.gov.au/content/472024" TargetMode="External" Id="Rccc5283266df4548" /><Relationship Type="http://schemas.openxmlformats.org/officeDocument/2006/relationships/hyperlink" Target="https://meteor-uat.aihw.gov.au/content/459215" TargetMode="External" Id="R81049b8d80594c0d" /><Relationship Type="http://schemas.openxmlformats.org/officeDocument/2006/relationships/hyperlink" Target="https://meteor-uat.aihw.gov.au/content/270300" TargetMode="External" Id="Rc58d7dcca7fd406a" /><Relationship Type="http://schemas.openxmlformats.org/officeDocument/2006/relationships/hyperlink" Target="https://meteor-uat.aihw.gov.au/content/514273" TargetMode="External" Id="R4196812fd9694a7a" /><Relationship Type="http://schemas.openxmlformats.org/officeDocument/2006/relationships/hyperlink" Target="https://meteor-uat.aihw.gov.au/content/472033" TargetMode="External" Id="R21c567b237e94571" /><Relationship Type="http://schemas.openxmlformats.org/officeDocument/2006/relationships/hyperlink" Target="https://meteor-uat.aihw.gov.au/content/269941" TargetMode="External" Id="R468df201e8b9464d" /><Relationship Type="http://schemas.openxmlformats.org/officeDocument/2006/relationships/hyperlink" Target="https://meteor-uat.aihw.gov.au/content/461473" TargetMode="External" Id="R1e1af66d73164c07" /><Relationship Type="http://schemas.openxmlformats.org/officeDocument/2006/relationships/hyperlink" Target="https://meteor-uat.aihw.gov.au/content/269975" TargetMode="External" Id="Rd8c6f8d783f348c7" /><Relationship Type="http://schemas.openxmlformats.org/officeDocument/2006/relationships/hyperlink" Target="https://meteor-uat.aihw.gov.au/content/269940" TargetMode="External" Id="R79b141ed0a27459e" /><Relationship Type="http://schemas.openxmlformats.org/officeDocument/2006/relationships/hyperlink" Target="https://meteor-uat.aihw.gov.au/content/269977" TargetMode="External" Id="R1a653147faae41e0" /><Relationship Type="http://schemas.openxmlformats.org/officeDocument/2006/relationships/hyperlink" Target="https://meteor-uat.aihw.gov.au/content/491557" TargetMode="External" Id="Rd291f797f2824104" /><Relationship Type="http://schemas.openxmlformats.org/officeDocument/2006/relationships/hyperlink" Target="https://meteor-uat.aihw.gov.au/content/514277" TargetMode="External" Id="R1932126ad5d5497d" /><Relationship Type="http://schemas.openxmlformats.org/officeDocument/2006/relationships/hyperlink" Target="https://meteor-uat.aihw.gov.au/content/514295" TargetMode="External" Id="Rb08459eaa5954f2b" /><Relationship Type="http://schemas.openxmlformats.org/officeDocument/2006/relationships/hyperlink" Target="https://meteor-uat.aihw.gov.au/content/514302" TargetMode="External" Id="R3566c60f49f54d20" /><Relationship Type="http://schemas.openxmlformats.org/officeDocument/2006/relationships/hyperlink" Target="https://meteor-uat.aihw.gov.au/content/270253" TargetMode="External" Id="Rd474a58ecb5f4265" /><Relationship Type="http://schemas.openxmlformats.org/officeDocument/2006/relationships/hyperlink" Target="https://meteor-uat.aihw.gov.au/content/469909" TargetMode="External" Id="R0e87f9f2b8984d13" /><Relationship Type="http://schemas.openxmlformats.org/officeDocument/2006/relationships/hyperlink" Target="https://meteor-uat.aihw.gov.au/content/459973" TargetMode="External" Id="R2cb4412ba326440c" /><Relationship Type="http://schemas.openxmlformats.org/officeDocument/2006/relationships/hyperlink" Target="https://meteor-uat.aihw.gov.au/content/287007" TargetMode="External" Id="R07ff3718be254ff1" /><Relationship Type="http://schemas.openxmlformats.org/officeDocument/2006/relationships/hyperlink" Target="https://meteor-uat.aihw.gov.au/content/481841" TargetMode="External" Id="R01714224fd984f8d" /><Relationship Type="http://schemas.openxmlformats.org/officeDocument/2006/relationships/hyperlink" Target="https://meteor-uat.aihw.gov.au/content/291036" TargetMode="External" Id="R9ee4c9b8eee0428f" /><Relationship Type="http://schemas.openxmlformats.org/officeDocument/2006/relationships/hyperlink" Target="https://meteor-uat.aihw.gov.au/content/290046" TargetMode="External" Id="R56ac3d68ed4d49b4" /><Relationship Type="http://schemas.openxmlformats.org/officeDocument/2006/relationships/hyperlink" Target="https://meteor-uat.aihw.gov.au/content/287316" TargetMode="External" Id="Re43d6283c3df4101" /><Relationship Type="http://schemas.openxmlformats.org/officeDocument/2006/relationships/hyperlink" Target="https://meteor-uat.aihw.gov.au/content/310245" TargetMode="External" Id="Ra7d6035fcdb94ea6" /><Relationship Type="http://schemas.openxmlformats.org/officeDocument/2006/relationships/hyperlink" Target="https://meteor-uat.aihw.gov.au/content/459234" TargetMode="External" Id="R65604b357e114846" /><Relationship Type="http://schemas.openxmlformats.org/officeDocument/2006/relationships/hyperlink" Target="https://meteor-uat.aihw.gov.au/content/496378" TargetMode="External" Id="R97a7ef4c6aaa4b2a" /><Relationship Type="http://schemas.openxmlformats.org/officeDocument/2006/relationships/hyperlink" Target="https://meteor-uat.aihw.gov.au/content/496391" TargetMode="External" Id="Re0e1f486375d4f4e" /><Relationship Type="http://schemas.openxmlformats.org/officeDocument/2006/relationships/hyperlink" Target="https://meteor-uat.aihw.gov.au/content/496407" TargetMode="External" Id="R07247916570c4bae" /><Relationship Type="http://schemas.openxmlformats.org/officeDocument/2006/relationships/hyperlink" Target="https://meteor-uat.aihw.gov.au/content/471807" TargetMode="External" Id="R8304795527e84db2" /><Relationship Type="http://schemas.openxmlformats.org/officeDocument/2006/relationships/hyperlink" Target="https://meteor-uat.aihw.gov.au/content/497302" TargetMode="External" Id="R7389261e4c87423e" /><Relationship Type="http://schemas.openxmlformats.org/officeDocument/2006/relationships/hyperlink" Target="https://meteor-uat.aihw.gov.au/content/497304" TargetMode="External" Id="R1cb5c2821ad84428" /><Relationship Type="http://schemas.openxmlformats.org/officeDocument/2006/relationships/hyperlink" Target="https://meteor-uat.aihw.gov.au/content/445942" TargetMode="External" Id="R2bc8f15431d24224" /><Relationship Type="http://schemas.openxmlformats.org/officeDocument/2006/relationships/hyperlink" Target="https://meteor-uat.aihw.gov.au/content/445598" TargetMode="External" Id="R7d694612cc214de7" /><Relationship Type="http://schemas.openxmlformats.org/officeDocument/2006/relationships/hyperlink" Target="https://meteor-uat.aihw.gov.au/content/445848" TargetMode="External" Id="R03be2ffe8a79452a" /><Relationship Type="http://schemas.openxmlformats.org/officeDocument/2006/relationships/hyperlink" Target="https://meteor-uat.aihw.gov.au/content/498519" TargetMode="External" Id="R16eda63049ca4bee" /><Relationship Type="http://schemas.openxmlformats.org/officeDocument/2006/relationships/hyperlink" Target="https://meteor-uat.aihw.gov.au/content/496467" TargetMode="External" Id="R593378ba69194b9e" /></Relationships>
</file>

<file path=word/_rels/header1.xml.rels>&#65279;<?xml version="1.0" encoding="utf-8"?><Relationships xmlns="http://schemas.openxmlformats.org/package/2006/relationships"><Relationship Type="http://schemas.openxmlformats.org/officeDocument/2006/relationships/image" Target="/media/image.png" Id="Rf392c918b9454a9d" /></Relationships>
</file>