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0abfaa6d3034e5c" /></Relationships>
</file>

<file path=word/document.xml><?xml version="1.0" encoding="utf-8"?>
<w:document xmlns:r="http://schemas.openxmlformats.org/officeDocument/2006/relationships" xmlns:w="http://schemas.openxmlformats.org/wordprocessingml/2006/main">
  <w:body>
    <w:p>
      <w:pPr>
        <w:pStyle w:val="Title"/>
      </w:pPr>
      <w:r>
        <w:t>Closing the Gap in the Northern Territory: Dental Services DSS,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Closing the Gap in the Northern Territory: Dental Services DSS,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83fdc230214bcd">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Closing the Gap in the Northern Territory (CtG): Dental Services DSS, 2011 describes data collected in relation to dental services, provided by dental practitioners, to Indigenous children living in prescribed areas in the Northern Territory. Funding from the Australian Government allowed for dental services to be delivered through the Child Health Check Initiative (CHCI) and the Closing the Gap (CtG) Child Oral Health Program from August 2007. The focus of the CtG dental service is on Indigenous children aged 15 years or less who have dental referrals from their Child Health Checks. Other children may also receive services from the NT Department of Health (NT DoH), however, funding for these services is provided from other sources.</w:t>
            </w:r>
          </w:p>
          <w:p>
            <w:pPr>
              <w:spacing w:after="160"/>
            </w:pPr>
            <w:r>
              <w:rPr>
                <w:rStyle w:val="row-content-rich-text"/>
              </w:rPr>
              <w:t xml:space="preserve">Dental services that do not require anaesthetic or can be provided through the administration of local anaesthetic are provided through mobile facilities or community clinics which are staffed by dental practitioners. Treatments requiring general anaesthetic, such as if a child had a severe dental health problem requiring surgery, are provided by Northern Territory public hospitals.</w:t>
            </w:r>
          </w:p>
          <w:p>
            <w:pPr/>
            <w:r>
              <w:rPr>
                <w:rStyle w:val="row-content-rich-text"/>
              </w:rPr>
              <w:t xml:space="preserve">Dental practitioners can be dentists, dental therapists, dental hygienists, dental prothetists or oral health therapists.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Closing the Gap in the Northern Territory (CtG): Dental Services DSS, 2011 is based on version 2 of the dental services form. This form was implemented in October 2011 and was in use until July 2012, after which version 3 was introduced for data collection relating to services provided under the Closing the Gap in the Northern Territory program. An earlier version of the dental services form was implemented in August 2007 and is still used by some dental clinics. Version 2 of the dental services form collects the following additional information:</w:t>
            </w:r>
          </w:p>
          <w:p>
            <w:pPr>
              <w:pStyle w:val="ListParagraph"/>
              <w:numPr>
                <w:ilvl w:val="0"/>
                <w:numId w:val="2"/>
              </w:numPr>
            </w:pPr>
            <w:r>
              <w:rPr>
                <w:rStyle w:val="row-content-rich-text"/>
              </w:rPr>
              <w:t xml:space="preserve">the ID or name of the community, town camp or homeland where the child is resident</w:t>
            </w:r>
          </w:p>
          <w:p>
            <w:pPr>
              <w:pStyle w:val="ListParagraph"/>
              <w:numPr>
                <w:ilvl w:val="0"/>
                <w:numId w:val="2"/>
              </w:numPr>
            </w:pPr>
            <w:r>
              <w:rPr>
                <w:rStyle w:val="row-content-rich-text"/>
              </w:rPr>
              <w:t xml:space="preserve">"full mouth fluoride" collected separately in dental services provided during this occasion of service</w:t>
            </w:r>
          </w:p>
          <w:p>
            <w:pPr>
              <w:pStyle w:val="ListParagraph"/>
              <w:numPr>
                <w:ilvl w:val="0"/>
                <w:numId w:val="2"/>
              </w:numPr>
            </w:pPr>
            <w:r>
              <w:rPr>
                <w:rStyle w:val="row-content-rich-text"/>
              </w:rPr>
              <w:t xml:space="preserve">"dental abscess" added to problems treated during this occasion of service</w:t>
            </w:r>
          </w:p>
          <w:p>
            <w:pPr>
              <w:pStyle w:val="ListParagraph"/>
              <w:numPr>
                <w:ilvl w:val="0"/>
                <w:numId w:val="2"/>
              </w:numPr>
            </w:pPr>
            <w:r>
              <w:rPr>
                <w:rStyle w:val="row-content-rich-text"/>
              </w:rPr>
              <w:t xml:space="preserve">an indication of whether a patient was referred for a general anaesthetic.</w:t>
            </w:r>
          </w:p>
          <w:p>
            <w:pPr/>
            <w:r>
              <w:rPr>
                <w:rStyle w:val="row-content-rich-text"/>
              </w:rPr>
              <w:t xml:space="preserve">The Australian Institute of Health and Welfare (AIHW) only receives confidentialised unit record level information on those children for which consent for data provision to AIHW has been obtained.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collected is based on 'occasion of service' which refers to occasions of examination, consultation, treatment or other services provided to a patient. When the dental service occurs, the dental practitioner completes the form with information about the services provided and the child's demographic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DSS are:</w:t>
            </w:r>
          </w:p>
          <w:p>
            <w:pPr>
              <w:pStyle w:val="ListParagraph"/>
              <w:numPr>
                <w:ilvl w:val="0"/>
                <w:numId w:val="3"/>
              </w:numPr>
            </w:pPr>
            <w:hyperlink w:tooltip="A technique used to introduce an agent to a patient to produce a state of reduced or absence of sensation for the provision of a treatment or service." w:history="true" r:id="Rc9492eb3781f4131">
              <w:r>
                <w:rPr>
                  <w:rStyle w:val="Hyperlink"/>
                  <w:b/>
                </w:rPr>
                <w:t xml:space="preserve">Anaesthesia</w:t>
              </w:r>
            </w:hyperlink>
          </w:p>
          <w:p>
            <w:pPr>
              <w:pStyle w:val="ListParagraph"/>
              <w:numPr>
                <w:ilvl w:val="0"/>
                <w:numId w:val="3"/>
              </w:numPr>
            </w:pPr>
            <w:hyperlink w:tooltip="Dental caries, or dental decay, is a common disease, which causes cavities and discoloration of both permanent and &amp;quot;baby&amp;quot; teeth. As the disease progresses in a tooth it becomes weaker and its nerve may be damaged." w:history="true" r:id="R2901d87451e9424e">
              <w:r>
                <w:rPr>
                  <w:rStyle w:val="Hyperlink"/>
                  <w:b/>
                </w:rPr>
                <w:t xml:space="preserve">Caries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7bcb578b3904931">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322ca1acf27b4657">
              <w:r>
                <w:rPr>
                  <w:rStyle w:val="Hyperlink"/>
                </w:rPr>
                <w:t xml:space="preserve">AIHW 2012. Northern Territory Emergency Response Child Health Check Initiative:</w:t>
              </w:r>
              <w:r>
                <w:br/>
              </w:r>
              <w:r>
                <w:rPr>
                  <w:rStyle w:val="row-content-rich-text"/>
                </w:rPr>
                <w:t xml:space="preserve">follow-up services for oral and ear health: final report, 2007-2012.</w:t>
              </w:r>
              <w:r>
                <w:br/>
              </w:r>
              <w:r>
                <w:rPr>
                  <w:rStyle w:val="row-content-rich-text"/>
                </w:rPr>
                <w:t xml:space="preserve">Cat. no. DEN 223. Canberra: AIHW</w:t>
              </w:r>
            </w:hyperlink>
            <w:r>
              <w:rPr>
                <w:rStyle w:val="row-content-rich-text"/>
              </w:rPr>
              <w:t xml:space="preserve"> </w:t>
            </w:r>
          </w:p>
          <w:p>
            <w:hyperlink w:history="true" r:id="R379287b10e414e6e">
              <w:r>
                <w:rPr>
                  <w:rStyle w:val="Hyperlink"/>
                </w:rPr>
                <w:t xml:space="preserve">AIHW 2012. Dental health of Indigenous children in the Northern Territory:</w:t>
              </w:r>
              <w:r>
                <w:br/>
              </w:r>
              <w:r>
                <w:rPr>
                  <w:rStyle w:val="row-content-rich-text"/>
                </w:rPr>
                <w:t xml:space="preserve">progress of the Closing the Gap Child Oral Health Program, April 2012.</w:t>
              </w:r>
              <w:r>
                <w:br/>
              </w:r>
              <w:r>
                <w:rPr>
                  <w:rStyle w:val="row-content-rich-text"/>
                </w:rPr>
                <w:t xml:space="preserve">Bulletin 102. Canberra: AIHW</w:t>
              </w:r>
            </w:hyperlink>
          </w:p>
          <w:p>
            <w:hyperlink w:history="true" r:id="Ra27f38738f5c44db">
              <w:r>
                <w:rPr>
                  <w:rStyle w:val="Hyperlink"/>
                </w:rPr>
                <w:t xml:space="preserve">AIHW 2011.Dental health of Indigenous children in the Northern Territory:</w:t>
              </w:r>
              <w:r>
                <w:br/>
              </w:r>
              <w:r>
                <w:rPr>
                  <w:rStyle w:val="row-content-rich-text"/>
                </w:rPr>
                <w:t xml:space="preserve">findings from the Closing the Gap Program. Cat. no. IHW41. Canberra: AIHW</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90293e0206a4835">
                    <w:r>
                      <w:rPr>
                        <w:rStyle w:val="Hyperlink"/>
                      </w:rPr>
                      <w:t xml:space="preserve">Service event—date of service, DDMMYYYY</w:t>
                    </w:r>
                  </w:hyperlink>
                </w:p>
                <w:p>
                  <w:r>
                    <w:rPr>
                      <w:b/>
                      <w:i/>
                      <w:color w:val="333333"/>
                    </w:rPr>
                    <w:t xml:space="preserve">DSS specific information:</w:t>
                  </w:r>
                </w:p>
                <w:p>
                  <w:r>
                    <w:t xml:space="preserve">For administrative purposes, date of service is reported twice on the collection form (as pages of the form are separated the date of service is reported once on page 1 and once on page 2).</w:t>
                  </w:r>
                </w:p>
                <w:p>
                  <w:r>
                    <w:t xml:space="preserve">Date of service follows the standard DD/MM/YYYY format except where not enough detail is provided.  In these instances the following codes should be used:</w:t>
                  </w:r>
                  <w:r>
                    <w:br/>
                  </w:r>
                  <w:r>
                    <w:t xml:space="preserve"> </w:t>
                  </w:r>
                  <w:r>
                    <w:br/>
                  </w:r>
                  <w:r>
                    <w:t xml:space="preserve">'Invalid' :        01/01/1800</w:t>
                  </w:r>
                  <w:r>
                    <w:br/>
                  </w:r>
                  <w:r>
                    <w:t xml:space="preserve"> </w:t>
                  </w:r>
                  <w:r>
                    <w:br/>
                  </w:r>
                  <w:r>
                    <w:t xml:space="preserve">'Not stated' : 01/01/1900</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37e3504c96643cb">
                    <w:r>
                      <w:rPr>
                        <w:rStyle w:val="Hyperlink"/>
                      </w:rPr>
                      <w:t xml:space="preserve">Discrete Indigenous community—identifier, AANNA</w:t>
                    </w:r>
                  </w:hyperlink>
                </w:p>
                <w:p>
                  <w:r>
                    <w:rPr>
                      <w:b/>
                      <w:i/>
                      <w:color w:val="333333"/>
                    </w:rPr>
                    <w:t xml:space="preserve">DSS specific information:</w:t>
                  </w:r>
                </w:p>
                <w:p>
                  <w:r>
                    <w:t xml:space="preserve">This item is collected twice. The first occurrence is the community, town camp or homeland where the service was provided and the second occurrence is the community, town camp or homeland where the child is resident/lives (usual place of residence).</w:t>
                  </w:r>
                </w:p>
                <w:p>
                  <w:r>
                    <w:t xml:space="preserve">Depending on operational requirements this information may not be provided. In some instances the Community, town camp or homeland ID and name (</w:t>
                  </w:r>
                  <w:hyperlink w:history="true" r:id="Rf090f1b86a014031">
                    <w:r>
                      <w:rPr>
                        <w:rStyle w:val="Hyperlink"/>
                      </w:rPr>
                      <w:t xml:space="preserve">Indigenous community—Indigenous community name, text AA[A(38)]</w:t>
                    </w:r>
                  </w:hyperlink>
                  <w:r>
                    <w:t xml:space="preserve">) are collected.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23dd29962394c6c">
                    <w:r>
                      <w:rPr>
                        <w:rStyle w:val="Hyperlink"/>
                      </w:rPr>
                      <w:t xml:space="preserve">Discrete Indigenous community—Indigenous community name, text AA[A(38)]</w:t>
                    </w:r>
                  </w:hyperlink>
                </w:p>
                <w:p>
                  <w:r>
                    <w:rPr>
                      <w:b/>
                      <w:i/>
                      <w:color w:val="333333"/>
                    </w:rPr>
                    <w:t xml:space="preserve">DSS specific information:</w:t>
                  </w:r>
                </w:p>
                <w:p>
                  <w:r>
                    <w:t xml:space="preserve">This item is collected twice. The first occurrence is the community, town camp or homeland where the service was provided and the second occurrence is the community, town camp or homeland where the child is resident/lives (usual place of residence).</w:t>
                  </w:r>
                </w:p>
                <w:p>
                  <w:r>
                    <w:t xml:space="preserve">Depending on operational requirements this information may not be provided. In some instances the Community, town camp or homeland name and ID (</w:t>
                  </w:r>
                  <w:hyperlink w:history="true" r:id="Rb781aa9202714912">
                    <w:r>
                      <w:rPr>
                        <w:rStyle w:val="Hyperlink"/>
                      </w:rPr>
                      <w:t xml:space="preserve">Discrete Indigenous community—identifier, AANNA</w:t>
                    </w:r>
                  </w:hyperlink>
                  <w:r>
                    <w:t xml:space="preserve">) are collected.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6061e81bb52e4cba">
                    <w:r>
                      <w:rPr>
                        <w:rStyle w:val="Hyperlink"/>
                      </w:rPr>
                      <w:t xml:space="preserve">Client—consent obtained indicator, yes/no code N</w:t>
                    </w:r>
                  </w:hyperlink>
                </w:p>
                <w:p>
                  <w:r>
                    <w:rPr>
                      <w:b/>
                      <w:i/>
                      <w:color w:val="333333"/>
                    </w:rPr>
                    <w:t xml:space="preserve">DSS specific information:</w:t>
                  </w:r>
                </w:p>
                <w:p>
                  <w:r>
                    <w:t xml:space="preserve">Only information where consent has been obtained is provided to the Australian Institute of Health and Welfare.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e41dd393ac142b6">
                    <w:r>
                      <w:rPr>
                        <w:rStyle w:val="Hyperlink"/>
                      </w:rPr>
                      <w:t xml:space="preserve">Person—person identifier, XXXXXX[X(14)]</w:t>
                    </w:r>
                  </w:hyperlink>
                </w:p>
                <w:p>
                  <w:r>
                    <w:rPr>
                      <w:b/>
                      <w:i/>
                      <w:color w:val="333333"/>
                    </w:rPr>
                    <w:t xml:space="preserve">DSS specific information:</w:t>
                  </w:r>
                </w:p>
                <w:p>
                  <w:r>
                    <w:t xml:space="preserve">This data element is used to record the Hospital Registration Number (HRN).</w:t>
                  </w:r>
                </w:p>
                <w:p>
                  <w:r>
                    <w:t xml:space="preserve">HRNs are allocated to people when they are born in Northern Territory public hospitals or when they first attend a Northern Territory public hospital to receive a service. It is a unique number that is not associated with a Medicare number. As at May 2013, the HRNs are either 6 or 7 digits long but there is capacity to increase to more digits as required.</w:t>
                  </w:r>
                </w:p>
                <w:p>
                  <w:r>
                    <w:t xml:space="preserve">A person's HRN does not change. It remains with them for the duration of their life.</w:t>
                  </w:r>
                </w:p>
                <w:p>
                  <w:r>
                    <w:t xml:space="preserve">For administrative purposes, the HRN is reported twice on the collection form (as pages of the form are separated the HRN is reported once on page 1 and once on page 2).</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1675309be5f42f4">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b3413283c5ca4caf">
                    <w:r>
                      <w:rPr>
                        <w:rStyle w:val="Hyperlink"/>
                      </w:rPr>
                      <w:t xml:space="preserve">Person—sex, code N</w:t>
                    </w:r>
                  </w:hyperlink>
                </w:p>
                <w:p>
                  <w:r>
                    <w:rPr>
                      <w:b/>
                      <w:i/>
                      <w:color w:val="333333"/>
                    </w:rPr>
                    <w:t xml:space="preserve">DSS specific information:</w:t>
                  </w:r>
                </w:p>
                <w:p>
                  <w:r>
                    <w:t xml:space="preserve">Note that 'Code 3 Intersex or indeterminate' is not used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3f46969e2d9b485c">
                    <w:r>
                      <w:rPr>
                        <w:rStyle w:val="Hyperlink"/>
                      </w:rPr>
                      <w:t xml:space="preserve">Patient—type of dental service provided, code N[N]{X}</w:t>
                    </w:r>
                  </w:hyperlink>
                </w:p>
                <w:p>
                  <w:r>
                    <w:rPr>
                      <w:b/>
                      <w:i/>
                      <w:color w:val="333333"/>
                    </w:rPr>
                    <w:t xml:space="preserve">DSS specific information:</w:t>
                  </w:r>
                </w:p>
                <w:p>
                  <w:r>
                    <w:t xml:space="preserve">Select all values that apply.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3e06f9100f704ed7">
                    <w:r>
                      <w:rPr>
                        <w:rStyle w:val="Hyperlink"/>
                      </w:rPr>
                      <w:t xml:space="preserve">Patient—type of dental service provided, text X[X(99)]</w:t>
                    </w:r>
                  </w:hyperlink>
                </w:p>
                <w:p>
                  <w:r>
                    <w:rPr>
                      <w:b/>
                      <w:i/>
                      <w:color w:val="333333"/>
                    </w:rPr>
                    <w:t xml:space="preserve">Conditional obligation:</w:t>
                  </w:r>
                </w:p>
                <w:p>
                  <w:r>
                    <w:t xml:space="preserve">Conditional on the selection of 'code 9 - other' in the </w:t>
                  </w:r>
                </w:p>
                <w:p>
                  <w:hyperlink w:history="true" r:id="R45bb3d88b7644997">
                    <w:r>
                      <w:rPr>
                        <w:rStyle w:val="Hyperlink"/>
                      </w:rPr>
                      <w:t xml:space="preserve">Patient—type of dental service provided, code N[N]{X}</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201830e6974f4489">
                    <w:r>
                      <w:rPr>
                        <w:rStyle w:val="Hyperlink"/>
                      </w:rPr>
                      <w:t xml:space="preserve">Patient—assessment only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a5fdc1aa17b94133">
                    <w:r>
                      <w:rPr>
                        <w:rStyle w:val="Hyperlink"/>
                      </w:rPr>
                      <w:t xml:space="preserve">Patient—oral health education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7699406773094b89">
                    <w:r>
                      <w:rPr>
                        <w:rStyle w:val="Hyperlink"/>
                      </w:rPr>
                      <w:t xml:space="preserve">Patient—dental treatment provided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99f0565cd3c14b2d">
                    <w:r>
                      <w:rPr>
                        <w:rStyle w:val="Hyperlink"/>
                      </w:rPr>
                      <w:t xml:space="preserve">Patient—type of dental problem treated, code N[N]</w:t>
                    </w:r>
                  </w:hyperlink>
                </w:p>
                <w:p>
                  <w:r>
                    <w:rPr>
                      <w:b/>
                      <w:i/>
                      <w:color w:val="333333"/>
                    </w:rPr>
                    <w:t xml:space="preserve">DSS specific information:</w:t>
                  </w:r>
                </w:p>
                <w:p>
                  <w:r>
                    <w:t xml:space="preserve">Select all values that apply.</w:t>
                  </w:r>
                </w:p>
                <w:p>
                  <w:r>
                    <w:t xml:space="preserve">On the dental services form, 'Assessment only' and 'Oral health education' is included in the list of dental problems treated. These two items are collected through the following data elements in the Dental Services DSS:</w:t>
                  </w:r>
                </w:p>
                <w:p>
                  <w:hyperlink w:history="true" r:id="R67e30307d158417b">
                    <w:r>
                      <w:rPr>
                        <w:rStyle w:val="Hyperlink"/>
                      </w:rPr>
                      <w:t xml:space="preserve">Patient—assessment only treatment indicator, yes/no code N</w:t>
                    </w:r>
                  </w:hyperlink>
                </w:p>
                <w:p>
                  <w:hyperlink w:history="true" r:id="R1123a06c1522483f">
                    <w:r>
                      <w:rPr>
                        <w:rStyle w:val="Hyperlink"/>
                      </w:rPr>
                      <w:t xml:space="preserve">Patient—oral health education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a57beeb3de16474a">
                    <w:r>
                      <w:rPr>
                        <w:rStyle w:val="Hyperlink"/>
                      </w:rPr>
                      <w:t xml:space="preserve">Patient—type of dental problem treated, text X[X(99)]</w:t>
                    </w:r>
                  </w:hyperlink>
                </w:p>
                <w:p>
                  <w:r>
                    <w:rPr>
                      <w:b/>
                      <w:i/>
                      <w:color w:val="333333"/>
                    </w:rPr>
                    <w:t xml:space="preserve">Conditional obligation:</w:t>
                  </w:r>
                </w:p>
                <w:p>
                  <w:r>
                    <w:t xml:space="preserve">The completion of this data element is conditional 'code 11 - other' being selected in </w:t>
                  </w:r>
                </w:p>
                <w:p>
                  <w:hyperlink w:history="true" r:id="R8f2862b17b7c42a1">
                    <w:r>
                      <w:rPr>
                        <w:rStyle w:val="Hyperlink"/>
                      </w:rPr>
                      <w:t xml:space="preserve">Patient—type of dental problems treated,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ce32b779db364fd6">
                    <w:r>
                      <w:rPr>
                        <w:rStyle w:val="Hyperlink"/>
                      </w:rPr>
                      <w:t xml:space="preserve">Decayed, missing and filled teeth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f899ce4a1d84664">
                    <w:r>
                      <w:rPr>
                        <w:rStyle w:val="Hyperlink"/>
                      </w:rPr>
                      <w:t xml:space="preserve">Patient—result of caries experience on teeth, deciduous code a</w:t>
                    </w:r>
                  </w:hyperlink>
                </w:p>
                <w:p>
                  <w:r>
                    <w:rPr>
                      <w:b/>
                      <w:i/>
                      <w:color w:val="333333"/>
                    </w:rPr>
                    <w:t xml:space="preserve">Conditional obligation:</w:t>
                  </w:r>
                </w:p>
                <w:p>
                  <w:r>
                    <w:t xml:space="preserve">Applicable to children aged less than 11 years.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2c69e60c1e94002">
                    <w:r>
                      <w:rPr>
                        <w:rStyle w:val="Hyperlink"/>
                      </w:rPr>
                      <w:t xml:space="preserve">Patient—result of caries experience on teeth, permanent code A</w:t>
                    </w:r>
                  </w:hyperlink>
                </w:p>
                <w:p>
                  <w:r>
                    <w:rPr>
                      <w:b/>
                      <w:i/>
                      <w:color w:val="333333"/>
                    </w:rPr>
                    <w:t xml:space="preserve">Conditional obligation:</w:t>
                  </w:r>
                </w:p>
                <w:p>
                  <w:r>
                    <w:t xml:space="preserve">Applicable to children aged 7 years or more.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1101e33a55a41c8">
                    <w:r>
                      <w:rPr>
                        <w:rStyle w:val="Hyperlink"/>
                      </w:rPr>
                      <w:t xml:space="preserve">Patient—number of teeth affected by caries, total N[N]</w:t>
                    </w:r>
                  </w:hyperlink>
                </w:p>
                <w:p>
                  <w:r>
                    <w:rPr>
                      <w:b/>
                      <w:i/>
                      <w:color w:val="333333"/>
                    </w:rPr>
                    <w:t xml:space="preserve">DSS specific information:</w:t>
                  </w:r>
                </w:p>
                <w:p>
                  <w:r>
                    <w:t xml:space="preserve">First occurrence is for the total of deciduous teeth (dmft) and the second occurrence is for total of permanent teeth (DMFT).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59f5d104efb2427f">
                    <w:r>
                      <w:rPr>
                        <w:rStyle w:val="Hyperlink"/>
                      </w:rPr>
                      <w:t xml:space="preserve">Patient—result of caries experience on teeth surfaces, deciduous code a</w:t>
                    </w:r>
                  </w:hyperlink>
                </w:p>
                <w:p>
                  <w:r>
                    <w:rPr>
                      <w:b/>
                      <w:i/>
                      <w:color w:val="333333"/>
                    </w:rPr>
                    <w:t xml:space="preserve">Conditional obligation:</w:t>
                  </w:r>
                </w:p>
                <w:p>
                  <w:r>
                    <w:t xml:space="preserve">Applicable to children aged less than 11 years.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525c5cc7a2746ab">
                    <w:r>
                      <w:rPr>
                        <w:rStyle w:val="Hyperlink"/>
                      </w:rPr>
                      <w:t xml:space="preserve">Patient—result of caries experience on teeth surfaces, permanent code A</w:t>
                    </w:r>
                  </w:hyperlink>
                </w:p>
                <w:p>
                  <w:r>
                    <w:rPr>
                      <w:b/>
                      <w:i/>
                      <w:color w:val="333333"/>
                    </w:rPr>
                    <w:t xml:space="preserve">Conditional obligation:</w:t>
                  </w:r>
                </w:p>
                <w:p>
                  <w:r>
                    <w:t xml:space="preserve">Applicable to children aged 7 years or more.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a97b040d7fff4aff">
                    <w:r>
                      <w:rPr>
                        <w:rStyle w:val="Hyperlink"/>
                      </w:rPr>
                      <w:t xml:space="preserve">Patient—number of teeth surfaces affected by caries, total N[N]</w:t>
                    </w:r>
                  </w:hyperlink>
                </w:p>
                <w:p>
                  <w:r>
                    <w:rPr>
                      <w:b/>
                      <w:i/>
                      <w:color w:val="333333"/>
                    </w:rPr>
                    <w:t xml:space="preserve">Conditional obligation:</w:t>
                  </w:r>
                </w:p>
                <w:p>
                  <w:r>
                    <w:t xml:space="preserve">First occurrence is for the total of deciduous teeth surfaces (dmfs) and the second occurrence is for the total of permanent teeth surfaces (DMFS).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6331a9678d814012">
                    <w:r>
                      <w:rPr>
                        <w:rStyle w:val="Hyperlink"/>
                      </w:rPr>
                      <w:t xml:space="preserve">Patient—follow-up dental treatment required indicator, yes/no code N</w:t>
                    </w:r>
                  </w:hyperlink>
                </w:p>
                <w:p>
                  <w:r>
                    <w:rPr>
                      <w:b/>
                      <w:i/>
                      <w:color w:val="333333"/>
                    </w:rPr>
                    <w:t xml:space="preserve">DSS specific information:</w:t>
                  </w:r>
                </w:p>
                <w:p>
                  <w:r>
                    <w:t xml:space="preserve">A 'yes' against this data element means the child requires further follow-up in order to complete their treatment plan.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604376d213204c51">
                    <w:r>
                      <w:rPr>
                        <w:rStyle w:val="Hyperlink"/>
                      </w:rPr>
                      <w:t xml:space="preserve">Patient—general anaesthesia administered indicator, yes/no code N</w:t>
                    </w:r>
                  </w:hyperlink>
                </w:p>
                <w:p>
                  <w:r>
                    <w:rPr>
                      <w:b/>
                      <w:i/>
                      <w:color w:val="333333"/>
                    </w:rPr>
                    <w:t xml:space="preserve">Conditional obligation:</w:t>
                  </w:r>
                </w:p>
                <w:p>
                  <w:r>
                    <w:t xml:space="preserve">This data element is conditional on 'code 3 - surgery/exodontia' being selected in </w:t>
                  </w:r>
                  <w:hyperlink w:history="true" r:id="Ra9ed5720f1ec45e1">
                    <w:r>
                      <w:rPr>
                        <w:rStyle w:val="Hyperlink"/>
                      </w:rPr>
                      <w:t xml:space="preserve">Patient—type of dental service provided, code N[N]{X</w:t>
                    </w:r>
                  </w:hyperlink>
                  <w:r>
                    <w:t xml:space="preserve">}.</w:t>
                  </w:r>
                </w:p>
                <w:p>
                  <w:r>
                    <w:rPr>
                      <w:b/>
                      <w:i/>
                      <w:color w:val="333333"/>
                    </w:rPr>
                    <w:t xml:space="preserve">DSS specific information:</w:t>
                  </w:r>
                </w:p>
                <w:p>
                  <w:r>
                    <w:t xml:space="preserve">This item refers to the administering of a general anaesthetic when dental surgery is performed on a patient on an occasion of service. (On the collection form, this item is shown as "referred for GA").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fe76e080ba441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496216</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7c94271ac644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e76e080ba441fc" /><Relationship Type="http://schemas.openxmlformats.org/officeDocument/2006/relationships/header" Target="/word/header1.xml" Id="R9784bb71f7c640d4" /><Relationship Type="http://schemas.openxmlformats.org/officeDocument/2006/relationships/settings" Target="/word/settings.xml" Id="R18cbd4920b024b92" /><Relationship Type="http://schemas.openxmlformats.org/officeDocument/2006/relationships/styles" Target="/word/styles.xml" Id="R3b972807a56747c4" /><Relationship Type="http://schemas.openxmlformats.org/officeDocument/2006/relationships/numbering" Target="/word/numbering.xml" Id="R271f75492ad44ad6" /><Relationship Type="http://schemas.openxmlformats.org/officeDocument/2006/relationships/hyperlink" Target="https://meteor-uat.aihw.gov.au/RegistrationAuthority/9" TargetMode="External" Id="Rb883fdc230214bcd" /><Relationship Type="http://schemas.openxmlformats.org/officeDocument/2006/relationships/hyperlink" Target="https://meteor-uat.aihw.gov.au/content/561591" TargetMode="External" Id="Rc9492eb3781f4131" /><Relationship Type="http://schemas.openxmlformats.org/officeDocument/2006/relationships/hyperlink" Target="https://meteor-uat.aihw.gov.au/content/551229" TargetMode="External" Id="R2901d87451e9424e" /><Relationship Type="http://schemas.openxmlformats.org/officeDocument/2006/relationships/hyperlink" Target="https://meteor-uat.aihw.gov.au/content/246013" TargetMode="External" Id="Re7bcb578b3904931" /><Relationship Type="http://schemas.openxmlformats.org/officeDocument/2006/relationships/hyperlink" Target="http://www.aihw.gov.au/publication-detail/?id=60129542266&amp;tab=3" TargetMode="External" Id="R322ca1acf27b4657" /><Relationship Type="http://schemas.openxmlformats.org/officeDocument/2006/relationships/hyperlink" Target="http://www.aihw.gov.au/publication-detail/?id=10737421499" TargetMode="External" Id="R379287b10e414e6e" /><Relationship Type="http://schemas.openxmlformats.org/officeDocument/2006/relationships/hyperlink" Target="http://www.aihw.gov.au/publication-detail/?id=10737418547" TargetMode="External" Id="Ra27f38738f5c44db" /><Relationship Type="http://schemas.openxmlformats.org/officeDocument/2006/relationships/hyperlink" Target="https://meteor-uat.aihw.gov.au/content/527660" TargetMode="External" Id="R190293e0206a4835" /><Relationship Type="http://schemas.openxmlformats.org/officeDocument/2006/relationships/hyperlink" Target="https://meteor-uat.aihw.gov.au/content/507630" TargetMode="External" Id="R237e3504c96643cb" /><Relationship Type="http://schemas.openxmlformats.org/officeDocument/2006/relationships/hyperlink" Target="https://meteor-uat.aihw.gov.au/content/507610" TargetMode="External" Id="Rf090f1b86a014031" /><Relationship Type="http://schemas.openxmlformats.org/officeDocument/2006/relationships/hyperlink" Target="https://meteor-uat.aihw.gov.au/content/507610" TargetMode="External" Id="R123dd29962394c6c" /><Relationship Type="http://schemas.openxmlformats.org/officeDocument/2006/relationships/hyperlink" Target="https://meteor-uat.aihw.gov.au/content/507630" TargetMode="External" Id="Rb781aa9202714912" /><Relationship Type="http://schemas.openxmlformats.org/officeDocument/2006/relationships/hyperlink" Target="https://meteor-uat.aihw.gov.au/content/338737" TargetMode="External" Id="R6061e81bb52e4cba" /><Relationship Type="http://schemas.openxmlformats.org/officeDocument/2006/relationships/hyperlink" Target="https://meteor-uat.aihw.gov.au/content/290046" TargetMode="External" Id="Rae41dd393ac142b6" /><Relationship Type="http://schemas.openxmlformats.org/officeDocument/2006/relationships/hyperlink" Target="https://meteor-uat.aihw.gov.au/content/287007" TargetMode="External" Id="R51675309be5f42f4" /><Relationship Type="http://schemas.openxmlformats.org/officeDocument/2006/relationships/hyperlink" Target="https://meteor-uat.aihw.gov.au/content/287316" TargetMode="External" Id="Rb3413283c5ca4caf" /><Relationship Type="http://schemas.openxmlformats.org/officeDocument/2006/relationships/hyperlink" Target="https://meteor-uat.aihw.gov.au/content/498287" TargetMode="External" Id="R3f46969e2d9b485c" /><Relationship Type="http://schemas.openxmlformats.org/officeDocument/2006/relationships/hyperlink" Target="https://meteor-uat.aihw.gov.au/content/499196" TargetMode="External" Id="R3e06f9100f704ed7" /><Relationship Type="http://schemas.openxmlformats.org/officeDocument/2006/relationships/hyperlink" Target="https://meteor-uat.aihw.gov.au/content/498287" TargetMode="External" Id="R45bb3d88b7644997" /><Relationship Type="http://schemas.openxmlformats.org/officeDocument/2006/relationships/hyperlink" Target="https://meteor-uat.aihw.gov.au/content/553188" TargetMode="External" Id="R201830e6974f4489" /><Relationship Type="http://schemas.openxmlformats.org/officeDocument/2006/relationships/hyperlink" Target="https://meteor-uat.aihw.gov.au/content/553207" TargetMode="External" Id="Ra5fdc1aa17b94133" /><Relationship Type="http://schemas.openxmlformats.org/officeDocument/2006/relationships/hyperlink" Target="https://meteor-uat.aihw.gov.au/content/553229" TargetMode="External" Id="R7699406773094b89" /><Relationship Type="http://schemas.openxmlformats.org/officeDocument/2006/relationships/hyperlink" Target="https://meteor-uat.aihw.gov.au/content/499015" TargetMode="External" Id="R99f0565cd3c14b2d" /><Relationship Type="http://schemas.openxmlformats.org/officeDocument/2006/relationships/hyperlink" Target="https://meteor-uat.aihw.gov.au/content/553188" TargetMode="External" Id="R67e30307d158417b" /><Relationship Type="http://schemas.openxmlformats.org/officeDocument/2006/relationships/hyperlink" Target="https://meteor-uat.aihw.gov.au/content/553207" TargetMode="External" Id="R1123a06c1522483f" /><Relationship Type="http://schemas.openxmlformats.org/officeDocument/2006/relationships/hyperlink" Target="https://meteor-uat.aihw.gov.au/content/499200" TargetMode="External" Id="Ra57beeb3de16474a" /><Relationship Type="http://schemas.openxmlformats.org/officeDocument/2006/relationships/hyperlink" Target="https://meteor-uat.aihw.gov.au/content/499015" TargetMode="External" Id="R8f2862b17b7c42a1" /><Relationship Type="http://schemas.openxmlformats.org/officeDocument/2006/relationships/hyperlink" Target="https://meteor-uat.aihw.gov.au/content/553034" TargetMode="External" Id="Rce32b779db364fd6" /><Relationship Type="http://schemas.openxmlformats.org/officeDocument/2006/relationships/hyperlink" Target="https://meteor-uat.aihw.gov.au/content/505722" TargetMode="External" Id="R9f899ce4a1d84664" /><Relationship Type="http://schemas.openxmlformats.org/officeDocument/2006/relationships/hyperlink" Target="https://meteor-uat.aihw.gov.au/content/505744" TargetMode="External" Id="R62c69e60c1e94002" /><Relationship Type="http://schemas.openxmlformats.org/officeDocument/2006/relationships/hyperlink" Target="https://meteor-uat.aihw.gov.au/content/500127" TargetMode="External" Id="Rc1101e33a55a41c8" /><Relationship Type="http://schemas.openxmlformats.org/officeDocument/2006/relationships/hyperlink" Target="https://meteor-uat.aihw.gov.au/content/505746" TargetMode="External" Id="R59f5d104efb2427f" /><Relationship Type="http://schemas.openxmlformats.org/officeDocument/2006/relationships/hyperlink" Target="https://meteor-uat.aihw.gov.au/content/505749" TargetMode="External" Id="R6525c5cc7a2746ab" /><Relationship Type="http://schemas.openxmlformats.org/officeDocument/2006/relationships/hyperlink" Target="https://meteor-uat.aihw.gov.au/content/500164" TargetMode="External" Id="Ra97b040d7fff4aff" /><Relationship Type="http://schemas.openxmlformats.org/officeDocument/2006/relationships/hyperlink" Target="https://meteor-uat.aihw.gov.au/content/496643" TargetMode="External" Id="R6331a9678d814012" /><Relationship Type="http://schemas.openxmlformats.org/officeDocument/2006/relationships/hyperlink" Target="https://meteor-uat.aihw.gov.au/content/555914" TargetMode="External" Id="R604376d213204c51" /><Relationship Type="http://schemas.openxmlformats.org/officeDocument/2006/relationships/hyperlink" Target="https://meteor-uat.aihw.gov.au/content/498287" TargetMode="External" Id="Ra9ed5720f1ec45e1" /></Relationships>
</file>

<file path=word/_rels/header1.xml.rels>&#65279;<?xml version="1.0" encoding="utf-8"?><Relationships xmlns="http://schemas.openxmlformats.org/package/2006/relationships"><Relationship Type="http://schemas.openxmlformats.org/officeDocument/2006/relationships/image" Target="/media/image.png" Id="Rf47c94271ac644af" /></Relationships>
</file>