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d4ad8f5364792" /></Relationships>
</file>

<file path=word/document.xml><?xml version="1.0" encoding="utf-8"?>
<w:document xmlns:r="http://schemas.openxmlformats.org/officeDocument/2006/relationships" xmlns:w="http://schemas.openxmlformats.org/wordprocessingml/2006/main">
  <w:body>
    <w:p>
      <w:pPr>
        <w:pStyle w:val="Title"/>
      </w:pPr>
      <w:r>
        <w:t>Mental health organisation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details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ad9d5af222864642">
                    <w:r>
                      <w:rPr>
                        <w:rStyle w:val="Hyperlink"/>
                      </w:rPr>
                      <w:t xml:space="preserve">Mental health government funding source</w:t>
                    </w:r>
                  </w:hyperlink>
                </w:p>
              </w:tc>
              <w:tc>
                <w:tcPr>
                  <w:vAlign w:val="top"/>
                </w:tcPr>
                <w:p>
                  <w:r>
                    <w:t xml:space="preserve">479124</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101 </w:t>
                        </w:r>
                      </w:p>
                    </w:tc>
                    <w:tc>
                      <w:tcPr>
                        <w:tcBorders>
                          <w:top w:val="none" w:color="000000" w:sz="0"/>
                          <w:left w:val="none" w:color="000000" w:sz="0"/>
                          <w:bottom w:val="none" w:color="000000" w:sz="0"/>
                          <w:right w:val="none" w:color="000000" w:sz="0"/>
                        </w:tcBorders>
                        <w:tcMar/>
                        <w:vAlign w:val="top"/>
                      </w:tcPr>
                      <w:p>
                        <w:r>
                          <w:t xml:space="preserve">NSW Health</w:t>
                        </w:r>
                      </w:p>
                    </w:tc>
                  </w:tr>
                  <w:tr>
                    <w:trPr/>
                    <w:tc>
                      <w:tcPr>
                        <w:tcW w:w="1000" w:type="pct"/>
                        <w:tcBorders>
                          <w:top w:val="none" w:color="000000" w:sz="0"/>
                          <w:left w:val="none" w:color="000000" w:sz="0"/>
                          <w:bottom w:val="none" w:color="000000" w:sz="0"/>
                          <w:right w:val="none" w:color="000000" w:sz="0"/>
                        </w:tcBorders>
                        <w:tcMar/>
                        <w:vAlign w:val="top"/>
                      </w:tcPr>
                      <w:p>
                        <w:r>
                          <w:t xml:space="preserve">201 </w:t>
                        </w:r>
                      </w:p>
                    </w:tc>
                    <w:tc>
                      <w:tcPr>
                        <w:tcBorders>
                          <w:top w:val="none" w:color="000000" w:sz="0"/>
                          <w:left w:val="none" w:color="000000" w:sz="0"/>
                          <w:bottom w:val="none" w:color="000000" w:sz="0"/>
                          <w:right w:val="none" w:color="000000" w:sz="0"/>
                        </w:tcBorders>
                        <w:tcMar/>
                        <w:vAlign w:val="top"/>
                      </w:tcPr>
                      <w:p>
                        <w:r>
                          <w:t xml:space="preserve">Victorian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301 </w:t>
                        </w:r>
                      </w:p>
                    </w:tc>
                    <w:tc>
                      <w:tcPr>
                        <w:tcBorders>
                          <w:top w:val="none" w:color="000000" w:sz="0"/>
                          <w:left w:val="none" w:color="000000" w:sz="0"/>
                          <w:bottom w:val="none" w:color="000000" w:sz="0"/>
                          <w:right w:val="none" w:color="000000" w:sz="0"/>
                        </w:tcBorders>
                        <w:tcMar/>
                        <w:vAlign w:val="top"/>
                      </w:tcPr>
                      <w:p>
                        <w:r>
                          <w:t xml:space="preserve">Queensland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401 </w:t>
                        </w:r>
                      </w:p>
                    </w:tc>
                    <w:tc>
                      <w:tcPr>
                        <w:tcBorders>
                          <w:top w:val="none" w:color="000000" w:sz="0"/>
                          <w:left w:val="none" w:color="000000" w:sz="0"/>
                          <w:bottom w:val="none" w:color="000000" w:sz="0"/>
                          <w:right w:val="none" w:color="000000" w:sz="0"/>
                        </w:tcBorders>
                        <w:tcMar/>
                        <w:vAlign w:val="top"/>
                      </w:tcPr>
                      <w:p>
                        <w:r>
                          <w:t xml:space="preserve">SA Health</w:t>
                        </w:r>
                      </w:p>
                    </w:tc>
                  </w:tr>
                  <w:tr>
                    <w:trPr/>
                    <w:tc>
                      <w:tcPr>
                        <w:tcW w:w="1000" w:type="pct"/>
                        <w:tcBorders>
                          <w:top w:val="none" w:color="000000" w:sz="0"/>
                          <w:left w:val="none" w:color="000000" w:sz="0"/>
                          <w:bottom w:val="none" w:color="000000" w:sz="0"/>
                          <w:right w:val="none" w:color="000000" w:sz="0"/>
                        </w:tcBorders>
                        <w:tcMar/>
                        <w:vAlign w:val="top"/>
                      </w:tcPr>
                      <w:p>
                        <w:r>
                          <w:t xml:space="preserve">501 </w:t>
                        </w:r>
                      </w:p>
                    </w:tc>
                    <w:tc>
                      <w:tcPr>
                        <w:tcBorders>
                          <w:top w:val="none" w:color="000000" w:sz="0"/>
                          <w:left w:val="none" w:color="000000" w:sz="0"/>
                          <w:bottom w:val="none" w:color="000000" w:sz="0"/>
                          <w:right w:val="none" w:color="000000" w:sz="0"/>
                        </w:tcBorders>
                        <w:tcMar/>
                        <w:vAlign w:val="top"/>
                      </w:tcPr>
                      <w:p>
                        <w:r>
                          <w:t xml:space="preserve">Western Australian Mental Health Commission</w:t>
                        </w:r>
                      </w:p>
                    </w:tc>
                  </w:tr>
                  <w:tr>
                    <w:trPr/>
                    <w:tc>
                      <w:tcPr>
                        <w:tcW w:w="1000" w:type="pct"/>
                        <w:tcBorders>
                          <w:top w:val="none" w:color="000000" w:sz="0"/>
                          <w:left w:val="none" w:color="000000" w:sz="0"/>
                          <w:bottom w:val="none" w:color="000000" w:sz="0"/>
                          <w:right w:val="none" w:color="000000" w:sz="0"/>
                        </w:tcBorders>
                        <w:tcMar/>
                        <w:vAlign w:val="top"/>
                      </w:tcPr>
                      <w:p>
                        <w:r>
                          <w:t xml:space="preserve">601 </w:t>
                        </w:r>
                      </w:p>
                    </w:tc>
                    <w:tc>
                      <w:tcPr>
                        <w:tcBorders>
                          <w:top w:val="none" w:color="000000" w:sz="0"/>
                          <w:left w:val="none" w:color="000000" w:sz="0"/>
                          <w:bottom w:val="none" w:color="000000" w:sz="0"/>
                          <w:right w:val="none" w:color="000000" w:sz="0"/>
                        </w:tcBorders>
                        <w:tcMar/>
                        <w:vAlign w:val="top"/>
                      </w:tcPr>
                      <w:p>
                        <w:r>
                          <w:t xml:space="preserve">Tasmanian Department of Health and Human Services</w:t>
                        </w:r>
                      </w:p>
                    </w:tc>
                  </w:tr>
                  <w:tr>
                    <w:trPr/>
                    <w:tc>
                      <w:tcPr>
                        <w:tcW w:w="1000" w:type="pct"/>
                        <w:tcBorders>
                          <w:top w:val="none" w:color="000000" w:sz="0"/>
                          <w:left w:val="none" w:color="000000" w:sz="0"/>
                          <w:bottom w:val="none" w:color="000000" w:sz="0"/>
                          <w:right w:val="none" w:color="000000" w:sz="0"/>
                        </w:tcBorders>
                        <w:tcMar/>
                        <w:vAlign w:val="top"/>
                      </w:tcPr>
                      <w:p>
                        <w:r>
                          <w:t xml:space="preserve">701 </w:t>
                        </w:r>
                      </w:p>
                    </w:tc>
                    <w:tc>
                      <w:tcPr>
                        <w:tcBorders>
                          <w:top w:val="none" w:color="000000" w:sz="0"/>
                          <w:left w:val="none" w:color="000000" w:sz="0"/>
                          <w:bottom w:val="none" w:color="000000" w:sz="0"/>
                          <w:right w:val="none" w:color="000000" w:sz="0"/>
                        </w:tcBorders>
                        <w:tcMar/>
                        <w:vAlign w:val="top"/>
                      </w:tcPr>
                      <w:p>
                        <w:r>
                          <w:t xml:space="preserve">NT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801 </w:t>
                        </w:r>
                      </w:p>
                    </w:tc>
                    <w:tc>
                      <w:tcPr>
                        <w:tcBorders>
                          <w:top w:val="none" w:color="000000" w:sz="0"/>
                          <w:left w:val="none" w:color="000000" w:sz="0"/>
                          <w:bottom w:val="none" w:color="000000" w:sz="0"/>
                          <w:right w:val="none" w:color="000000" w:sz="0"/>
                        </w:tcBorders>
                        <w:tcMar/>
                        <w:vAlign w:val="top"/>
                      </w:tcPr>
                      <w:p>
                        <w:r>
                          <w:t xml:space="preserve">ACT Government Health Directorate</w:t>
                        </w:r>
                      </w:p>
                    </w:tc>
                  </w:tr>
                  <w:tr>
                    <w:trPr/>
                    <w:tc>
                      <w:tcPr>
                        <w:tcW w:w="1000" w:type="pct"/>
                        <w:tcBorders>
                          <w:top w:val="none" w:color="000000" w:sz="0"/>
                          <w:left w:val="none" w:color="000000" w:sz="0"/>
                          <w:bottom w:val="none" w:color="000000" w:sz="0"/>
                          <w:right w:val="none" w:color="000000" w:sz="0"/>
                        </w:tcBorders>
                        <w:tcMar/>
                        <w:vAlign w:val="top"/>
                      </w:tcPr>
                      <w:p>
                        <w:r>
                          <w:t xml:space="preserve">901 </w:t>
                        </w:r>
                      </w:p>
                    </w:tc>
                    <w:tc>
                      <w:tcPr>
                        <w:tcBorders>
                          <w:top w:val="none" w:color="000000" w:sz="0"/>
                          <w:left w:val="none" w:color="000000" w:sz="0"/>
                          <w:bottom w:val="none" w:color="000000" w:sz="0"/>
                          <w:right w:val="none" w:color="000000" w:sz="0"/>
                        </w:tcBorders>
                        <w:tcMar/>
                        <w:vAlign w:val="top"/>
                      </w:tcPr>
                      <w:p>
                        <w:r>
                          <w:t xml:space="preserve">Commonwealth Department of Health</w:t>
                        </w:r>
                      </w:p>
                    </w:tc>
                  </w:tr>
                  <w:tr>
                    <w:trPr/>
                    <w:tc>
                      <w:tcPr>
                        <w:tcW w:w="1000" w:type="pct"/>
                        <w:tcBorders>
                          <w:top w:val="none" w:color="000000" w:sz="0"/>
                          <w:left w:val="none" w:color="000000" w:sz="0"/>
                          <w:bottom w:val="none" w:color="000000" w:sz="0"/>
                          <w:right w:val="none" w:color="000000" w:sz="0"/>
                        </w:tcBorders>
                        <w:tcMar/>
                        <w:vAlign w:val="top"/>
                      </w:tcPr>
                      <w:p>
                        <w:r>
                          <w:t xml:space="preserve">921 </w:t>
                        </w:r>
                      </w:p>
                    </w:tc>
                    <w:tc>
                      <w:tcPr>
                        <w:tcBorders>
                          <w:top w:val="none" w:color="000000" w:sz="0"/>
                          <w:left w:val="none" w:color="000000" w:sz="0"/>
                          <w:bottom w:val="none" w:color="000000" w:sz="0"/>
                          <w:right w:val="none" w:color="000000" w:sz="0"/>
                        </w:tcBorders>
                        <w:tcMar/>
                        <w:vAlign w:val="top"/>
                      </w:tcPr>
                      <w:p>
                        <w:r>
                          <w:t xml:space="preserve">Commonwealth Department of Social Services</w:t>
                        </w:r>
                      </w:p>
                    </w:tc>
                  </w:tr>
                </w:tbl>
                <w:p/>
              </w:tc>
            </w:tr>
            <w:tr>
              <w:trPr/>
              <w:tc>
                <w:tcPr>
                  <w:tcMar>
                    <w:right w:w="29" w:type="dxa"/>
                  </w:tcMar>
                  <w:vAlign w:val="top"/>
                </w:tcPr>
                <w:p>
                  <w:pPr>
                    <w:keepNext/>
                    <w:jc w:val="center"/>
                  </w:pPr>
                  <w:r>
                    <w:t xml:space="preserve">2</w:t>
                  </w:r>
                </w:p>
              </w:tc>
              <w:tc>
                <w:tcPr>
                  <w:tcMar/>
                  <w:vAlign w:val="top"/>
                </w:tcPr>
                <w:p>
                  <w:hyperlink w:history="true" r:id="R26dd7fea8d8946ad">
                    <w:r>
                      <w:rPr>
                        <w:rStyle w:val="Hyperlink"/>
                      </w:rPr>
                      <w:t xml:space="preserve">Australian business number (ABN) </w:t>
                    </w:r>
                  </w:hyperlink>
                </w:p>
              </w:tc>
              <w:tc>
                <w:tcPr>
                  <w:vAlign w:val="top"/>
                </w:tcPr>
                <w:p>
                  <w:r>
                    <w:t xml:space="preserve">429148</w:t>
                  </w:r>
                </w:p>
              </w:tc>
              <w:tc>
                <w:tcPr>
                  <w:vAlign w:val="top"/>
                </w:tcPr>
                <w:p>
                  <w:r>
                    <w:t xml:space="preserve">Number
[11]</w:t>
                  </w:r>
                </w:p>
              </w:tc>
              <w:tc>
                <w:tcPr>
                  <w:vAlign w:val="top"/>
                </w:tcPr>
                <w:p>
                  <w:r>
                    <w:t xml:space="preserve">N(11)</w:t>
                  </w:r>
                  <w:r>
                    <w:br/>
                  </w:r>
                  <w:r>
                    <w:t xml:space="preserve">A combination of numeric characters that identify an entity.</w:t>
                  </w:r>
                </w:p>
              </w:tc>
            </w:tr>
            <w:tr>
              <w:trPr/>
              <w:tc>
                <w:tcPr>
                  <w:tcMar>
                    <w:right w:w="29" w:type="dxa"/>
                  </w:tcMar>
                  <w:vAlign w:val="top"/>
                </w:tcPr>
                <w:p>
                  <w:pPr>
                    <w:keepNext/>
                    <w:jc w:val="center"/>
                  </w:pPr>
                  <w:r>
                    <w:t xml:space="preserve">3</w:t>
                  </w:r>
                </w:p>
              </w:tc>
              <w:tc>
                <w:tcPr>
                  <w:tcMar/>
                  <w:vAlign w:val="top"/>
                </w:tcPr>
                <w:p>
                  <w:hyperlink w:history="true" r:id="Rbb20dce94ce44ab1">
                    <w:r>
                      <w:rPr>
                        <w:rStyle w:val="Hyperlink"/>
                      </w:rPr>
                      <w:t xml:space="preserve">Organisation name</w:t>
                    </w:r>
                  </w:hyperlink>
                </w:p>
              </w:tc>
              <w:tc>
                <w:tcPr>
                  <w:vAlign w:val="top"/>
                </w:tcPr>
                <w:p>
                  <w:r>
                    <w:t xml:space="preserve">453823</w:t>
                  </w:r>
                </w:p>
              </w:tc>
              <w:tc>
                <w:tcPr>
                  <w:vAlign w:val="top"/>
                </w:tcPr>
                <w:p>
                  <w:r>
                    <w:t xml:space="preserve">String
[200]</w:t>
                  </w:r>
                </w:p>
              </w:tc>
              <w:tc>
                <w:tcPr>
                  <w:vAlign w:val="top"/>
                </w:tcPr>
                <w:p>
                  <w:r>
                    <w:t xml:space="preserve">X[X(199)]</w:t>
                  </w:r>
                  <w:r>
                    <w:br/>
                  </w:r>
                  <w:r>
                    <w:t xml:space="preserve">A combination of alphanumeric characters.</w:t>
                  </w:r>
                </w:p>
              </w:tc>
            </w:tr>
            <w:tr>
              <w:trPr/>
              <w:tc>
                <w:tcPr>
                  <w:tcMar>
                    <w:right w:w="29" w:type="dxa"/>
                  </w:tcMar>
                  <w:vAlign w:val="top"/>
                </w:tcPr>
                <w:p>
                  <w:pPr>
                    <w:keepNext/>
                    <w:jc w:val="center"/>
                  </w:pPr>
                  <w:r>
                    <w:t xml:space="preserve">4</w:t>
                  </w:r>
                </w:p>
              </w:tc>
              <w:tc>
                <w:tcPr>
                  <w:tcMar/>
                  <w:vAlign w:val="top"/>
                </w:tcPr>
                <w:p>
                  <w:hyperlink w:history="true" r:id="R7b3fa83e250d4f7d">
                    <w:r>
                      <w:rPr>
                        <w:rStyle w:val="Hyperlink"/>
                      </w:rPr>
                      <w:t xml:space="preserve">Statistical area level 2 (SA2)</w:t>
                    </w:r>
                  </w:hyperlink>
                </w:p>
              </w:tc>
              <w:tc>
                <w:tcPr>
                  <w:vAlign w:val="top"/>
                </w:tcPr>
                <w:p>
                  <w:r>
                    <w:t xml:space="preserve">659774</w:t>
                  </w:r>
                </w:p>
              </w:tc>
              <w:tc>
                <w:tcPr>
                  <w:vAlign w:val="top"/>
                </w:tcPr>
                <w:p>
                  <w:r>
                    <w:t xml:space="preserve">String
[9]</w:t>
                  </w:r>
                </w:p>
              </w:tc>
              <w:tc>
                <w:tcPr>
                  <w:vAlign w:val="top"/>
                </w:tcPr>
                <w:p>
                  <w:r>
                    <w:t xml:space="preserve">N(9)</w:t>
                  </w:r>
                  <w:r>
                    <w:br/>
                  </w:r>
                </w:p>
                <w:p>
                  <w:r>
                    <w:t xml:space="preserve">A code set representing a medium-sized general purpose area aggregated from whole Statistical areas level 1 (SA1s).</w:t>
                  </w:r>
                </w:p>
              </w:tc>
            </w:tr>
            <w:tr>
              <w:trPr/>
              <w:tc>
                <w:tcPr>
                  <w:tcMar>
                    <w:right w:w="29" w:type="dxa"/>
                  </w:tcMar>
                  <w:vAlign w:val="top"/>
                </w:tcPr>
                <w:p>
                  <w:pPr>
                    <w:keepNext/>
                    <w:jc w:val="center"/>
                  </w:pPr>
                  <w:r>
                    <w:t xml:space="preserve">5</w:t>
                  </w:r>
                </w:p>
              </w:tc>
              <w:tc>
                <w:tcPr>
                  <w:tcMar/>
                  <w:vAlign w:val="top"/>
                </w:tcPr>
                <w:p>
                  <w:hyperlink w:history="true" r:id="Rfe69b2132cd346e2">
                    <w:r>
                      <w:rPr>
                        <w:rStyle w:val="Hyperlink"/>
                      </w:rPr>
                      <w:t xml:space="preserve">Quality accreditation/certification standard type</w:t>
                    </w:r>
                  </w:hyperlink>
                </w:p>
              </w:tc>
              <w:tc>
                <w:tcPr>
                  <w:vAlign w:val="top"/>
                </w:tcPr>
                <w:p>
                  <w:r>
                    <w:t xml:space="preserve">435964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National Standards for Mental Health Services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International Organization for Standardization (ISO 9000)</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Quality Improvement Council (QIC) Health and Community Service Standards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National Safety and Quality Health Service (NSQHS) Standards</w:t>
                        </w:r>
                      </w:p>
                    </w:tc>
                  </w:tr>
                </w:tbl>
                <w:p/>
              </w:tc>
            </w:tr>
            <w:tr>
              <w:trPr/>
              <w:tc>
                <w:tcPr>
                  <w:tcMar>
                    <w:right w:w="29" w:type="dxa"/>
                  </w:tcMar>
                  <w:vAlign w:val="top"/>
                </w:tcPr>
                <w:p>
                  <w:pPr>
                    <w:keepNext/>
                    <w:jc w:val="center"/>
                  </w:pPr>
                  <w:r>
                    <w:t xml:space="preserve">6</w:t>
                  </w:r>
                </w:p>
              </w:tc>
              <w:tc>
                <w:tcPr>
                  <w:tcMar/>
                  <w:vAlign w:val="top"/>
                </w:tcPr>
                <w:p>
                  <w:hyperlink w:history="true" r:id="Rd3522898ff4f44f6">
                    <w:r>
                      <w:rPr>
                        <w:rStyle w:val="Hyperlink"/>
                      </w:rPr>
                      <w:t xml:space="preserve">Quality accreditation/certification standard indicator</w:t>
                    </w:r>
                  </w:hyperlink>
                </w:p>
              </w:tc>
              <w:tc>
                <w:tcPr>
                  <w:vAlign w:val="top"/>
                </w:tcPr>
                <w:p>
                  <w:r>
                    <w:t xml:space="preserve">435944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 the service provider organisation is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 the service provider organisation is not accredited or compliant with relevant industry quality standards.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Undergoing assessment. The service provider organisation is undergoing the applicable accreditation/certification process but has not yet been granted accreditation/certification.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 The standard is not applicable to the service provider organisation.</w:t>
                        </w:r>
                      </w:p>
                    </w:tc>
                  </w:tr>
                </w:tbl>
                <w:p/>
              </w:tc>
            </w:tr>
            <w:tr>
              <w:trPr/>
              <w:tc>
                <w:tcPr>
                  <w:tcMar>
                    <w:right w:w="29" w:type="dxa"/>
                  </w:tcMar>
                  <w:vAlign w:val="top"/>
                </w:tcPr>
                <w:p>
                  <w:pPr>
                    <w:keepNext/>
                    <w:jc w:val="center"/>
                  </w:pPr>
                  <w:r>
                    <w:t xml:space="preserve">7</w:t>
                  </w:r>
                </w:p>
              </w:tc>
              <w:tc>
                <w:tcPr>
                  <w:tcMar/>
                  <w:vAlign w:val="top"/>
                </w:tcPr>
                <w:p>
                  <w:hyperlink w:history="true" r:id="R170aa390af9f4086">
                    <w:r>
                      <w:rPr>
                        <w:rStyle w:val="Hyperlink"/>
                      </w:rPr>
                      <w:t xml:space="preserve">Not-for-profit indicator</w:t>
                    </w:r>
                  </w:hyperlink>
                </w:p>
              </w:tc>
              <w:tc>
                <w:tcPr>
                  <w:vAlign w:val="top"/>
                </w:tcPr>
                <w:p>
                  <w:r>
                    <w:t xml:space="preserve">373022</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8</w:t>
                  </w:r>
                </w:p>
              </w:tc>
              <w:tc>
                <w:tcPr>
                  <w:tcMar/>
                  <w:vAlign w:val="top"/>
                </w:tcPr>
                <w:p>
                  <w:hyperlink w:history="true" r:id="Rfe7f270a9a6e42cb">
                    <w:r>
                      <w:rPr>
                        <w:rStyle w:val="Hyperlink"/>
                      </w:rPr>
                      <w:t xml:space="preserve">Consumer-managed organisation indicator</w:t>
                    </w:r>
                  </w:hyperlink>
                </w:p>
              </w:tc>
              <w:tc>
                <w:tcPr>
                  <w:vAlign w:val="top"/>
                </w:tcPr>
                <w:p>
                  <w:r>
                    <w:t xml:space="preserve">480963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bl>
                <w:p/>
              </w:tc>
            </w:tr>
            <w:tr>
              <w:trPr/>
              <w:tc>
                <w:tcPr>
                  <w:tcMar>
                    <w:right w:w="29" w:type="dxa"/>
                  </w:tcMar>
                  <w:vAlign w:val="top"/>
                </w:tcPr>
                <w:p>
                  <w:pPr>
                    <w:keepNext/>
                    <w:jc w:val="center"/>
                  </w:pPr>
                  <w:r>
                    <w:t xml:space="preserve">9</w:t>
                  </w:r>
                </w:p>
              </w:tc>
              <w:tc>
                <w:tcPr>
                  <w:tcMar/>
                  <w:vAlign w:val="top"/>
                </w:tcPr>
                <w:p>
                  <w:hyperlink w:history="true" r:id="R1fb91e1ab7ca45da">
                    <w:r>
                      <w:rPr>
                        <w:rStyle w:val="Hyperlink"/>
                      </w:rPr>
                      <w:t xml:space="preserve">Full-time equivalent paid overhead staff (average)</w:t>
                    </w:r>
                  </w:hyperlink>
                </w:p>
              </w:tc>
              <w:tc>
                <w:tcPr>
                  <w:vAlign w:val="top"/>
                </w:tcPr>
                <w:p>
                  <w:r>
                    <w:t xml:space="preserve">480975</w:t>
                  </w:r>
                </w:p>
              </w:tc>
              <w:tc>
                <w:tcPr>
                  <w:vAlign w:val="top"/>
                </w:tcPr>
                <w:p>
                  <w:r>
                    <w:t xml:space="preserve">Number
[6]</w:t>
                  </w:r>
                </w:p>
              </w:tc>
              <w:tc>
                <w:tcPr>
                  <w:vAlign w:val="top"/>
                </w:tcPr>
                <w:p>
                  <w:r>
                    <w:t xml:space="preserve">NNNN.NN</w:t>
                  </w:r>
                  <w:r>
                    <w:br/>
                  </w:r>
                  <w:r>
                    <w:t xml:space="preserve">A numeric value representing the arithmetic mean of full-time equivalent units.</w:t>
                  </w:r>
                </w:p>
              </w:tc>
            </w:tr>
          </w:tbl>
          <w:p/>
        </w:tc>
      </w:tr>
    </w:tbl>
    <w:p>
      <w:r>
        <w:br/>
      </w:r>
    </w:p>
    <w:sectPr>
      <w:footerReference xmlns:r="http://schemas.openxmlformats.org/officeDocument/2006/relationships" w:type="default" r:id="R773a25609d754147"/>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82eb54607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a25609d754147" /><Relationship Type="http://schemas.openxmlformats.org/officeDocument/2006/relationships/header" Target="/word/header1.xml" Id="R1b0845a0bf7a48d0" /><Relationship Type="http://schemas.openxmlformats.org/officeDocument/2006/relationships/settings" Target="/word/settings.xml" Id="R482b4f48b9b54cfb" /><Relationship Type="http://schemas.openxmlformats.org/officeDocument/2006/relationships/styles" Target="/word/styles.xml" Id="R47c7f2822eb445d0" /><Relationship Type="http://schemas.openxmlformats.org/officeDocument/2006/relationships/hyperlink" Target="https://meteor-uat.aihw.gov.au/content/479124" TargetMode="External" Id="Rad9d5af222864642" /><Relationship Type="http://schemas.openxmlformats.org/officeDocument/2006/relationships/hyperlink" Target="https://meteor-uat.aihw.gov.au/content/429148" TargetMode="External" Id="R26dd7fea8d8946ad" /><Relationship Type="http://schemas.openxmlformats.org/officeDocument/2006/relationships/hyperlink" Target="https://meteor-uat.aihw.gov.au/content/453823" TargetMode="External" Id="Rbb20dce94ce44ab1" /><Relationship Type="http://schemas.openxmlformats.org/officeDocument/2006/relationships/hyperlink" Target="https://meteor-uat.aihw.gov.au/content/659774" TargetMode="External" Id="R7b3fa83e250d4f7d" /><Relationship Type="http://schemas.openxmlformats.org/officeDocument/2006/relationships/hyperlink" Target="https://meteor-uat.aihw.gov.au/content/435964" TargetMode="External" Id="Rfe69b2132cd346e2" /><Relationship Type="http://schemas.openxmlformats.org/officeDocument/2006/relationships/hyperlink" Target="https://meteor-uat.aihw.gov.au/content/435944" TargetMode="External" Id="Rd3522898ff4f44f6" /><Relationship Type="http://schemas.openxmlformats.org/officeDocument/2006/relationships/hyperlink" Target="https://meteor-uat.aihw.gov.au/content/373022" TargetMode="External" Id="R170aa390af9f4086" /><Relationship Type="http://schemas.openxmlformats.org/officeDocument/2006/relationships/hyperlink" Target="https://meteor-uat.aihw.gov.au/content/480963" TargetMode="External" Id="Rfe7f270a9a6e42cb" /><Relationship Type="http://schemas.openxmlformats.org/officeDocument/2006/relationships/hyperlink" Target="https://meteor-uat.aihw.gov.au/content/480975" TargetMode="External" Id="R1fb91e1ab7ca45da" /></Relationships>
</file>

<file path=word/_rels/header1.xml.rels>&#65279;<?xml version="1.0" encoding="utf-8"?><Relationships xmlns="http://schemas.openxmlformats.org/package/2006/relationships"><Relationship Type="http://schemas.openxmlformats.org/officeDocument/2006/relationships/image" Target="/media/image.png" Id="Rbcc82eb5460741a2" /></Relationships>
</file>