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1221345d64084"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f1ed4f6aa63494b">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dd78f575b904c8e">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157e2a51b44f59">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ad3dd4c3474c35">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w:t>
                  </w:r>
                </w:p>
              </w:tc>
              <w:tc>
                <w:tcPr>
                  <w:tcMar/>
                  <w:vAlign w:val="top"/>
                </w:tcPr>
                <w:p>
                  <w:hyperlink w:history="true" r:id="R675680c3577c4a1d">
                    <w:r>
                      <w:rPr>
                        <w:rStyle w:val="Hyperlink"/>
                      </w:rPr>
                      <w:t xml:space="preserve">Human epidermal growth factor receptor-2 test result</w:t>
                    </w:r>
                  </w:hyperlink>
                </w:p>
              </w:tc>
              <w:tc>
                <w:tcPr>
                  <w:vAlign w:val="top"/>
                </w:tcPr>
                <w:p>
                  <w:r>
                    <w:t xml:space="preserve">370572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Negative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Equivocal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Unknown (test results not available)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(test not done)</w:t>
                        </w:r>
                      </w:p>
                    </w:tc>
                  </w:tr>
                </w:tbl>
                <w:p/>
              </w:tc>
            </w:tr>
            <w:tr>
              <w:trPr/>
              <w:tc>
                <w:tcPr>
                  <w:tcMar>
                    <w:right w:w="29" w:type="dxa"/>
                  </w:tcMar>
                  <w:vAlign w:val="top"/>
                </w:tcPr>
                <w:p>
                  <w:pPr>
                    <w:keepNext/>
                    <w:jc w:val="center"/>
                  </w:pPr>
                  <w:r>
                    <w:t xml:space="preserve">-</w:t>
                  </w:r>
                </w:p>
              </w:tc>
              <w:tc>
                <w:tcPr>
                  <w:tcMar/>
                  <w:vAlign w:val="top"/>
                </w:tcPr>
                <w:p>
                  <w:hyperlink w:history="true" r:id="R54aced685b4040d9">
                    <w:r>
                      <w:rPr>
                        <w:rStyle w:val="Hyperlink"/>
                      </w:rPr>
                      <w:t xml:space="preserve">Human epidermal growth factor receptor-2 test type</w:t>
                    </w:r>
                  </w:hyperlink>
                </w:p>
              </w:tc>
              <w:tc>
                <w:tcPr>
                  <w:vAlign w:val="top"/>
                </w:tcPr>
                <w:p>
                  <w:r>
                    <w:t xml:space="preserve">370607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Fluorescence in situ hybridisation (FISH)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Brightfield in situ hybridisation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Immunochemistry (IHC)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Test type not stated or unknown</w:t>
                        </w:r>
                      </w:p>
                    </w:tc>
                  </w:tr>
                </w:tbl>
                <w:p/>
              </w:tc>
            </w:tr>
            <w:tr>
              <w:trPr/>
              <w:tc>
                <w:tcPr>
                  <w:tcMar>
                    <w:right w:w="29" w:type="dxa"/>
                  </w:tcMar>
                  <w:vAlign w:val="top"/>
                </w:tcPr>
                <w:p>
                  <w:pPr>
                    <w:keepNext/>
                    <w:jc w:val="center"/>
                  </w:pPr>
                  <w:r>
                    <w:t xml:space="preserve">-</w:t>
                  </w:r>
                </w:p>
              </w:tc>
              <w:tc>
                <w:tcPr>
                  <w:tcMar/>
                  <w:vAlign w:val="top"/>
                </w:tcPr>
                <w:p>
                  <w:hyperlink w:history="true" r:id="Ref0f11b7a85c4c3a">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0d516ff58a74cb8">
                    <w:r>
                      <w:rPr>
                        <w:rStyle w:val="Hyperlink"/>
                      </w:rPr>
                      <w:t xml:space="preserve">Lymphovascular invasion</w:t>
                    </w:r>
                  </w:hyperlink>
                </w:p>
              </w:tc>
              <w:tc>
                <w:tcPr>
                  <w:vAlign w:val="top"/>
                </w:tcPr>
                <w:p>
                  <w:r>
                    <w:t xml:space="preserve">370618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Present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Suspicious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or unknown</w:t>
                        </w:r>
                      </w:p>
                    </w:tc>
                  </w:tr>
                </w:tbl>
                <w:p/>
              </w:tc>
            </w:tr>
            <w:tr>
              <w:trPr/>
              <w:tc>
                <w:tcPr>
                  <w:tcMar>
                    <w:right w:w="29" w:type="dxa"/>
                  </w:tcMar>
                  <w:vAlign w:val="top"/>
                </w:tcPr>
                <w:p>
                  <w:pPr>
                    <w:keepNext/>
                    <w:jc w:val="center"/>
                  </w:pPr>
                  <w:r>
                    <w:t xml:space="preserve">-</w:t>
                  </w:r>
                </w:p>
              </w:tc>
              <w:tc>
                <w:tcPr>
                  <w:tcMar/>
                  <w:vAlign w:val="top"/>
                </w:tcPr>
                <w:p>
                  <w:hyperlink w:history="true" r:id="Rc2a697fd65a84609">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w:t>
                  </w:r>
                </w:p>
              </w:tc>
              <w:tc>
                <w:tcPr>
                  <w:tcMar/>
                  <w:vAlign w:val="top"/>
                </w:tcPr>
                <w:p>
                  <w:hyperlink w:history="true" r:id="Re51aa02f9ed44135">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a2b979ae5784829">
                    <w:r>
                      <w:rPr>
                        <w:rStyle w:val="Hyperlink"/>
                      </w:rPr>
                      <w:t xml:space="preserve">Neo-adjuvant therapy</w:t>
                    </w:r>
                  </w:hyperlink>
                </w:p>
              </w:tc>
              <w:tc>
                <w:tcPr>
                  <w:vAlign w:val="top"/>
                </w:tcPr>
                <w:p>
                  <w:r>
                    <w:t xml:space="preserve">370014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24ecfd2fe224857">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1ba8a1178045fc">
                    <w:r>
                      <w:rPr>
                        <w:rStyle w:val="Hyperlink"/>
                      </w:rPr>
                      <w:t xml:space="preserve">Number of positive sentinel lymph nodes</w:t>
                    </w:r>
                  </w:hyperlink>
                </w:p>
              </w:tc>
              <w:tc>
                <w:tcPr>
                  <w:vAlign w:val="top"/>
                </w:tcPr>
                <w:p>
                  <w:r>
                    <w:t xml:space="preserve">370549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Number of lymph nodes unknown</w:t>
                        </w:r>
                      </w:p>
                    </w:tc>
                  </w:tr>
                </w:tbl>
                <w:p/>
              </w:tc>
            </w:tr>
            <w:tr>
              <w:trPr/>
              <w:tc>
                <w:tcPr>
                  <w:tcMar>
                    <w:right w:w="29" w:type="dxa"/>
                  </w:tcMar>
                  <w:vAlign w:val="top"/>
                </w:tcPr>
                <w:p>
                  <w:pPr>
                    <w:keepNext/>
                    <w:jc w:val="center"/>
                  </w:pPr>
                  <w:r>
                    <w:t xml:space="preserve">-</w:t>
                  </w:r>
                </w:p>
              </w:tc>
              <w:tc>
                <w:tcPr>
                  <w:tcMar/>
                  <w:vAlign w:val="top"/>
                </w:tcPr>
                <w:p>
                  <w:hyperlink w:history="true" r:id="R083a639d8f0b4bec">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d29e8ad84d48f9">
                    <w:r>
                      <w:rPr>
                        <w:rStyle w:val="Hyperlink"/>
                      </w:rPr>
                      <w:t xml:space="preserve">Number of sentinel lymph nodes examined</w:t>
                    </w:r>
                  </w:hyperlink>
                </w:p>
              </w:tc>
              <w:tc>
                <w:tcPr>
                  <w:vAlign w:val="top"/>
                </w:tcPr>
                <w:p>
                  <w:r>
                    <w:t xml:space="preserve">370558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Number of lymph nodes unknown</w:t>
                        </w:r>
                      </w:p>
                    </w:tc>
                  </w:tr>
                </w:tbl>
                <w:p/>
              </w:tc>
            </w:tr>
            <w:tr>
              <w:trPr/>
              <w:tc>
                <w:tcPr>
                  <w:tcMar>
                    <w:right w:w="29" w:type="dxa"/>
                  </w:tcMar>
                  <w:vAlign w:val="top"/>
                </w:tcPr>
                <w:p>
                  <w:pPr>
                    <w:keepNext/>
                    <w:jc w:val="center"/>
                  </w:pPr>
                  <w:r>
                    <w:t xml:space="preserve">-</w:t>
                  </w:r>
                </w:p>
              </w:tc>
              <w:tc>
                <w:tcPr>
                  <w:tcMar/>
                  <w:vAlign w:val="top"/>
                </w:tcPr>
                <w:p>
                  <w:hyperlink w:history="true" r:id="Rd7cf88dc503c455a">
                    <w:r>
                      <w:rPr>
                        <w:rStyle w:val="Hyperlink"/>
                      </w:rPr>
                      <w:t xml:space="preserve">Oestrogen receptor assay result</w:t>
                    </w:r>
                  </w:hyperlink>
                </w:p>
              </w:tc>
              <w:tc>
                <w:tcPr>
                  <w:vAlign w:val="top"/>
                </w:tcPr>
                <w:p>
                  <w:r>
                    <w:t xml:space="preserve">370036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Positive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Negative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Equivocal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Unknown (test results not available)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(test not done)</w:t>
                        </w:r>
                      </w:p>
                    </w:tc>
                  </w:tr>
                </w:tbl>
                <w:p/>
              </w:tc>
            </w:tr>
            <w:tr>
              <w:trPr/>
              <w:tc>
                <w:tcPr>
                  <w:tcMar>
                    <w:right w:w="29" w:type="dxa"/>
                  </w:tcMar>
                  <w:vAlign w:val="top"/>
                </w:tcPr>
                <w:p>
                  <w:pPr>
                    <w:keepNext/>
                    <w:jc w:val="center"/>
                  </w:pPr>
                  <w:r>
                    <w:t xml:space="preserve">-</w:t>
                  </w:r>
                </w:p>
              </w:tc>
              <w:tc>
                <w:tcPr>
                  <w:tcMar/>
                  <w:vAlign w:val="top"/>
                </w:tcPr>
                <w:p>
                  <w:hyperlink w:history="true" r:id="R51c911d8bb494f1e">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9fea81484d1f4a24">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959af908354529">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c452055fae421e">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e9d86e00a1cf4fc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2e99f1066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86e00a1cf4fce" /><Relationship Type="http://schemas.openxmlformats.org/officeDocument/2006/relationships/header" Target="/word/header1.xml" Id="Rb7c98286686d4f90" /><Relationship Type="http://schemas.openxmlformats.org/officeDocument/2006/relationships/settings" Target="/word/settings.xml" Id="R990419c8e2284c2c" /><Relationship Type="http://schemas.openxmlformats.org/officeDocument/2006/relationships/styles" Target="/word/styles.xml" Id="R9e761de02367426f" /><Relationship Type="http://schemas.openxmlformats.org/officeDocument/2006/relationships/hyperlink" Target="https://meteor-uat.aihw.gov.au/content/416129" TargetMode="External" Id="R4f1ed4f6aa63494b" /><Relationship Type="http://schemas.openxmlformats.org/officeDocument/2006/relationships/hyperlink" Target="https://meteor-uat.aihw.gov.au/content/403720" TargetMode="External" Id="R3dd78f575b904c8e" /><Relationship Type="http://schemas.openxmlformats.org/officeDocument/2006/relationships/hyperlink" Target="https://meteor-uat.aihw.gov.au/content/403726" TargetMode="External" Id="R1c157e2a51b44f59" /><Relationship Type="http://schemas.openxmlformats.org/officeDocument/2006/relationships/hyperlink" Target="https://meteor-uat.aihw.gov.au/content/422555" TargetMode="External" Id="R3cad3dd4c3474c35" /><Relationship Type="http://schemas.openxmlformats.org/officeDocument/2006/relationships/hyperlink" Target="https://meteor-uat.aihw.gov.au/content/370572" TargetMode="External" Id="R675680c3577c4a1d" /><Relationship Type="http://schemas.openxmlformats.org/officeDocument/2006/relationships/hyperlink" Target="https://meteor-uat.aihw.gov.au/content/370607" TargetMode="External" Id="R54aced685b4040d9" /><Relationship Type="http://schemas.openxmlformats.org/officeDocument/2006/relationships/hyperlink" Target="https://meteor-uat.aihw.gov.au/content/422769" TargetMode="External" Id="Ref0f11b7a85c4c3a" /><Relationship Type="http://schemas.openxmlformats.org/officeDocument/2006/relationships/hyperlink" Target="https://meteor-uat.aihw.gov.au/content/370618" TargetMode="External" Id="R80d516ff58a74cb8" /><Relationship Type="http://schemas.openxmlformats.org/officeDocument/2006/relationships/hyperlink" Target="https://meteor-uat.aihw.gov.au/content/399491" TargetMode="External" Id="Rc2a697fd65a84609" /><Relationship Type="http://schemas.openxmlformats.org/officeDocument/2006/relationships/hyperlink" Target="https://meteor-uat.aihw.gov.au/content/422772" TargetMode="External" Id="Re51aa02f9ed44135" /><Relationship Type="http://schemas.openxmlformats.org/officeDocument/2006/relationships/hyperlink" Target="https://meteor-uat.aihw.gov.au/content/370014" TargetMode="External" Id="R8a2b979ae5784829" /><Relationship Type="http://schemas.openxmlformats.org/officeDocument/2006/relationships/hyperlink" Target="https://meteor-uat.aihw.gov.au/content/415959" TargetMode="External" Id="Re24ecfd2fe224857" /><Relationship Type="http://schemas.openxmlformats.org/officeDocument/2006/relationships/hyperlink" Target="https://meteor-uat.aihw.gov.au/content/370549" TargetMode="External" Id="Rd31ba8a1178045fc" /><Relationship Type="http://schemas.openxmlformats.org/officeDocument/2006/relationships/hyperlink" Target="https://meteor-uat.aihw.gov.au/content/415971" TargetMode="External" Id="R083a639d8f0b4bec" /><Relationship Type="http://schemas.openxmlformats.org/officeDocument/2006/relationships/hyperlink" Target="https://meteor-uat.aihw.gov.au/content/370558" TargetMode="External" Id="Rf3d29e8ad84d48f9" /><Relationship Type="http://schemas.openxmlformats.org/officeDocument/2006/relationships/hyperlink" Target="https://meteor-uat.aihw.gov.au/content/370036" TargetMode="External" Id="Rd7cf88dc503c455a" /><Relationship Type="http://schemas.openxmlformats.org/officeDocument/2006/relationships/hyperlink" Target="https://meteor-uat.aihw.gov.au/content/396090" TargetMode="External" Id="R51c911d8bb494f1e" /><Relationship Type="http://schemas.openxmlformats.org/officeDocument/2006/relationships/hyperlink" Target="https://meteor-uat.aihw.gov.au/content/403564" TargetMode="External" Id="R9fea81484d1f4a24" /><Relationship Type="http://schemas.openxmlformats.org/officeDocument/2006/relationships/hyperlink" Target="https://meteor-uat.aihw.gov.au/content/403661" TargetMode="External" Id="Ra5959af908354529" /><Relationship Type="http://schemas.openxmlformats.org/officeDocument/2006/relationships/hyperlink" Target="https://meteor-uat.aihw.gov.au/content/422642" TargetMode="External" Id="Rbdc452055fae421e" /></Relationships>
</file>

<file path=word/_rels/header1.xml.rels>&#65279;<?xml version="1.0" encoding="utf-8"?><Relationships xmlns="http://schemas.openxmlformats.org/package/2006/relationships"><Relationship Type="http://schemas.openxmlformats.org/officeDocument/2006/relationships/image" Target="/media/image.png" Id="R5252e99f1066497b" /></Relationships>
</file>