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ced3ea0ad04dc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20-Attendance rates - Year 1 to Year 10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20-Attendance rates - Year 1 to Year 10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487239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6a938ff76c4144">
              <w:r>
                <w:rPr>
                  <w:rStyle w:val="Hyperlink"/>
                  <w:color w:val="244061"/>
                </w:rPr>
                <w:t xml:space="preserve">Indigenous</w:t>
              </w:r>
            </w:hyperlink>
            <w:r>
              <w:rPr>
                <w:rStyle w:val="row-content"/>
                <w:color w:val="244061"/>
              </w:rPr>
              <w:t xml:space="preserve">, Superseded 22/10/2013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Data Collector(s): Each jurisdiction and DEEWR collects this data and provides it to ACARA.</w:t>
            </w:r>
            <w:r>
              <w:br/>
            </w:r>
            <w:r>
              <w:rPr>
                <w:rStyle w:val="row-content-rich-text"/>
              </w:rPr>
              <w:t xml:space="preserve">Collection authority: National Education Agreement, Schools Assistance Act.</w:t>
            </w:r>
            <w:r>
              <w:br/>
            </w:r>
            <w:r>
              <w:rPr>
                <w:rStyle w:val="row-content-rich-text"/>
              </w:rPr>
              <w:t xml:space="preserve">Data Compiler(s): Jurisdictions and DEEWR compile the data that is sent from schools. ACARA compiles the data sent by jurisdictions and DEEWR.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The data is collected annually.</w:t>
            </w:r>
            <w:r>
              <w:br/>
            </w:r>
            <w:r>
              <w:rPr>
                <w:rStyle w:val="row-content-rich-text"/>
              </w:rPr>
              <w:t xml:space="preserve">Data available: This data was requested from the jurisdictions and DEEWR and collected in June 2011.</w:t>
            </w:r>
          </w:p>
          <w:p>
            <w:pPr/>
            <w:r>
              <w:rPr>
                <w:rStyle w:val="row-content-rich-text"/>
              </w:rPr>
              <w:t xml:space="preserve">Referenced Period: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publicly available? Data are unpublished. Data will be published in the 2010 National report on Schooling, via the ACARA website.</w:t>
            </w:r>
            <w:r>
              <w:br/>
            </w:r>
            <w:r>
              <w:rPr>
                <w:rStyle w:val="row-content-rich-text"/>
              </w:rPr>
              <w:t xml:space="preserve">Data are not available prior to public access.</w:t>
            </w:r>
            <w:r>
              <w:br/>
            </w:r>
            <w:r>
              <w:rPr>
                <w:rStyle w:val="row-content-rich-text"/>
              </w:rPr>
              <w:t xml:space="preserve">Supplementary data are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Other Supporting information: Explanatory notes for attendance data are published annually in the National Report on Schooling. Attendance data are not comparable across jurisdictions or states/territories.</w:t>
            </w:r>
          </w:p>
          <w:p>
            <w:pPr>
              <w:spacing w:after="160"/>
            </w:pPr>
            <w:r>
              <w:rPr>
                <w:rStyle w:val="row-content-rich-text"/>
              </w:rPr>
              <w:t xml:space="preserve">For Vic, ungraded attendance includes both primary and secondary students therefore, while both Ungraded columns contain data, the data is the same. The figures for years 1-10 include students in primary, secondary and pri/sec schools. Ungraded figures include students in special schools only.</w:t>
            </w:r>
          </w:p>
          <w:p>
            <w:pPr>
              <w:spacing w:after="160"/>
            </w:pPr>
            <w:r>
              <w:rPr>
                <w:rStyle w:val="row-content-rich-text"/>
              </w:rPr>
              <w:t xml:space="preserve">For NSW, students whose Indigenous status is unknown or not provided are included in the 'Non Indigenous' category.</w:t>
            </w:r>
          </w:p>
          <w:p>
            <w:pPr>
              <w:spacing w:after="160"/>
            </w:pPr>
            <w:r>
              <w:rPr>
                <w:rStyle w:val="row-content-rich-text"/>
              </w:rPr>
              <w:t xml:space="preserve">For SA, Indigenous attendance rate include students indicated as being Aboriginal and/or Torres Strait Islander. Non-Indigenous attendance rate includes all other students.</w:t>
            </w:r>
          </w:p>
          <w:p>
            <w:pPr/>
            <w:r>
              <w:rPr>
                <w:rStyle w:val="row-content-rich-text"/>
              </w:rPr>
              <w:t xml:space="preserve">Wide variation in Indigenous attendance rates may occur in Tasmanian and ACT Independent schools due to low student numbers.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is available by State and Territory by sector only.</w:t>
            </w:r>
            <w:r>
              <w:br/>
            </w:r>
            <w:r>
              <w:rPr>
                <w:rStyle w:val="row-content-rich-text"/>
              </w:rPr>
              <w:t xml:space="preserve">Data Completeness: Data is not available by geo-location. A national attendance figure is not available.</w:t>
            </w:r>
            <w:r>
              <w:br/>
            </w:r>
            <w:r>
              <w:rPr>
                <w:rStyle w:val="row-content-rich-text"/>
              </w:rPr>
              <w:t xml:space="preserve">Indigenous Statistics: Indigenous statistics are available for each sector by State/Territory for each year (1-10).</w:t>
            </w:r>
            <w:r>
              <w:br/>
            </w:r>
            <w:r>
              <w:rPr>
                <w:rStyle w:val="row-content-rich-text"/>
              </w:rPr>
              <w:t xml:space="preserve">Socioeconomic status data: NA</w:t>
            </w:r>
            <w:r>
              <w:br/>
            </w:r>
            <w:r>
              <w:rPr>
                <w:rStyle w:val="row-content-rich-text"/>
              </w:rPr>
              <w:t xml:space="preserve">Numerator/Denominator Source: Yes they are from the same source.</w:t>
            </w:r>
          </w:p>
          <w:p>
            <w:pPr>
              <w:pStyle w:val="ListParagraph"/>
              <w:numPr>
                <w:ilvl w:val="0"/>
                <w:numId w:val="2"/>
              </w:numPr>
            </w:pPr>
            <w:r>
              <w:rPr>
                <w:rStyle w:val="row-content-rich-text"/>
              </w:rPr>
              <w:t xml:space="preserve">For Education indicators, are all types of schools, universities, technical colleges/TAFEs and correspondence schools included? All types of schools are included.</w:t>
            </w:r>
          </w:p>
          <w:p>
            <w:pPr>
              <w:pStyle w:val="ListParagraph"/>
              <w:numPr>
                <w:ilvl w:val="0"/>
                <w:numId w:val="2"/>
              </w:numPr>
            </w:pPr>
            <w:r>
              <w:rPr>
                <w:rStyle w:val="row-content-rich-text"/>
              </w:rPr>
              <w:t xml:space="preserve">What does the data not represent or cover? The data doesn't represent year 11-12 attendance rates.</w:t>
            </w:r>
          </w:p>
          <w:p>
            <w:pPr/>
            <w:r>
              <w:rPr>
                <w:rStyle w:val="row-content-rich-text"/>
              </w:rPr>
              <w:t xml:space="preserve">Have standard classifications been used? If not, why not? Yes, standard definitions of Indigenous status have been applied from the MCEECDYA data standards manual.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Schools record student attendance by using various internal administrative systems.</w:t>
            </w:r>
            <w:r>
              <w:br/>
            </w:r>
            <w:r>
              <w:rPr>
                <w:rStyle w:val="row-content-rich-text"/>
              </w:rPr>
              <w:t xml:space="preserve">Known Issues: The collection and reporting of student attendance data is under review to achieve national consistency and comparability. Key issues are:</w:t>
            </w:r>
          </w:p>
          <w:p>
            <w:pPr>
              <w:pStyle w:val="ListParagraph"/>
              <w:numPr>
                <w:ilvl w:val="0"/>
                <w:numId w:val="3"/>
              </w:numPr>
            </w:pPr>
            <w:r>
              <w:rPr>
                <w:rStyle w:val="row-content-rich-text"/>
              </w:rPr>
              <w:t xml:space="preserve">Collection period</w:t>
            </w:r>
          </w:p>
          <w:p>
            <w:pPr>
              <w:pStyle w:val="ListParagraph"/>
              <w:numPr>
                <w:ilvl w:val="0"/>
                <w:numId w:val="3"/>
              </w:numPr>
            </w:pPr>
            <w:r>
              <w:rPr>
                <w:rStyle w:val="row-content-rich-text"/>
              </w:rPr>
              <w:t xml:space="preserve">Methodology for collection of the attendance data</w:t>
            </w:r>
          </w:p>
          <w:p>
            <w:pPr>
              <w:pStyle w:val="ListParagraph"/>
              <w:numPr>
                <w:ilvl w:val="0"/>
                <w:numId w:val="3"/>
              </w:numPr>
            </w:pPr>
            <w:r>
              <w:rPr>
                <w:rStyle w:val="row-content-rich-text"/>
              </w:rPr>
              <w:t xml:space="preserve">Treatment of part day attendance</w:t>
            </w:r>
          </w:p>
          <w:p>
            <w:pPr>
              <w:pStyle w:val="ListParagraph"/>
              <w:numPr>
                <w:ilvl w:val="0"/>
                <w:numId w:val="3"/>
              </w:numPr>
            </w:pPr>
            <w:r>
              <w:rPr>
                <w:rStyle w:val="row-content-rich-text"/>
              </w:rPr>
              <w:t xml:space="preserve">Treatment of ungraded students</w:t>
            </w:r>
          </w:p>
          <w:p>
            <w:pPr>
              <w:pStyle w:val="ListParagraph"/>
              <w:numPr>
                <w:ilvl w:val="0"/>
                <w:numId w:val="3"/>
              </w:numPr>
            </w:pPr>
            <w:r>
              <w:rPr>
                <w:rStyle w:val="row-content-rich-text"/>
              </w:rPr>
              <w:t xml:space="preserve">Methodology for calculation of attendance</w:t>
            </w:r>
          </w:p>
          <w:p>
            <w:pPr>
              <w:pStyle w:val="ListParagraph"/>
              <w:numPr>
                <w:ilvl w:val="0"/>
                <w:numId w:val="3"/>
              </w:numPr>
            </w:pPr>
            <w:r>
              <w:rPr>
                <w:rStyle w:val="row-content-rich-text"/>
              </w:rPr>
              <w:t xml:space="preserve">Treatment of inclusion/exclusions</w:t>
            </w:r>
          </w:p>
          <w:p>
            <w:pPr>
              <w:spacing w:after="160"/>
            </w:pPr>
            <w:r>
              <w:rPr>
                <w:rStyle w:val="row-content-rich-text"/>
              </w:rPr>
              <w:t xml:space="preserve">Year to year change: Percentages in each cell are rounded to the nearest whole number; therefore smaller changes are not detectable.</w:t>
            </w:r>
          </w:p>
          <w:p>
            <w:pPr/>
            <w:r>
              <w:rPr>
                <w:rStyle w:val="row-content-rich-text"/>
              </w:rPr>
              <w:t xml:space="preserve">Is the data being used attitudinal or data?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Consistency over time: This data has been collected since 2007 and has remained fairly consistent during this period. A difference noted has been the collection period; the collection period for South Australian government schools in the first year of collection was one term only rather than the full first semester used in subsequent years.</w:t>
            </w:r>
            <w:r>
              <w:br/>
            </w:r>
            <w:r>
              <w:rPr>
                <w:rStyle w:val="row-content-rich-text"/>
              </w:rPr>
              <w:t xml:space="preserve">Numerator/denominator: The numerator is the number of attended days whereas the denominator is the number of possible attended days.</w:t>
            </w:r>
            <w:r>
              <w:br/>
            </w:r>
            <w:r>
              <w:rPr>
                <w:rStyle w:val="row-content-rich-text"/>
              </w:rPr>
              <w:t xml:space="preserve">The numerator and denominator are compiled from a single source.</w:t>
            </w:r>
            <w:r>
              <w:br/>
            </w:r>
            <w:r>
              <w:rPr>
                <w:rStyle w:val="row-content-rich-text"/>
              </w:rPr>
              <w:t xml:space="preserve">The data is consistent with data supplied in previous reporting round.</w:t>
            </w:r>
            <w:r>
              <w:br/>
            </w:r>
            <w:r>
              <w:rPr>
                <w:rStyle w:val="row-content-rich-text"/>
              </w:rPr>
              <w:t xml:space="preserve">Jurisdiction estimate calculation: No</w:t>
            </w:r>
            <w:r>
              <w:br/>
            </w:r>
            <w:r>
              <w:rPr>
                <w:rStyle w:val="row-content-rich-text"/>
              </w:rPr>
              <w:t xml:space="preserve">Jurisdiction/Australia estimate calculation: No</w:t>
            </w:r>
            <w:r>
              <w:br/>
            </w:r>
            <w:r>
              <w:rPr>
                <w:rStyle w:val="row-content-rich-text"/>
              </w:rPr>
              <w:t xml:space="preserve">Collections across populations: 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843ac6cb0c54b20">
              <w:r>
                <w:rPr>
                  <w:rStyle w:val="Hyperlink"/>
                </w:rPr>
                <w:t xml:space="preserve">National Indigenous Reform Agreement: PI 13-Attendance rates Year 1 to Year 10, 2013 QS</w:t>
              </w:r>
            </w:hyperlink>
          </w:p>
          <w:p>
            <w:pPr>
              <w:pStyle w:val="registration-status"/>
              <w:spacing w:before="0" w:after="0"/>
            </w:pPr>
            <w:hyperlink w:history="true" r:id="Rca461ddbe3074303">
              <w:r>
                <w:rPr>
                  <w:rStyle w:val="Hyperlink"/>
                  <w:color w:val="244061"/>
                </w:rPr>
                <w:t xml:space="preserve">Indigenous</w:t>
              </w:r>
            </w:hyperlink>
            <w:r>
              <w:rPr>
                <w:rStyle w:val="row-content"/>
                <w:color w:val="244061"/>
              </w:rPr>
              <w:t xml:space="preserve">, Superseded 25/06/2014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def9b9d87c145e6">
              <w:r>
                <w:rPr>
                  <w:rStyle w:val="Hyperlink"/>
                </w:rPr>
                <w:t xml:space="preserve">National Indigenous Reform Agreement: PI 20-Attendance rates Year 1 to Year 10, 2012</w:t>
              </w:r>
            </w:hyperlink>
          </w:p>
          <w:p>
            <w:pPr>
              <w:pStyle w:val="registration-status"/>
              <w:spacing w:before="0" w:after="0"/>
            </w:pPr>
            <w:hyperlink w:history="true" r:id="R4a879c2566c1449d">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1e16fd36ff1b46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487239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f6d10230b742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16fd36ff1b46b0" /><Relationship Type="http://schemas.openxmlformats.org/officeDocument/2006/relationships/header" Target="/word/header1.xml" Id="Rdde9933b41dc4e99" /><Relationship Type="http://schemas.openxmlformats.org/officeDocument/2006/relationships/settings" Target="/word/settings.xml" Id="R73f93c315fec4f6a" /><Relationship Type="http://schemas.openxmlformats.org/officeDocument/2006/relationships/styles" Target="/word/styles.xml" Id="Rb57d16fa723c4662" /><Relationship Type="http://schemas.openxmlformats.org/officeDocument/2006/relationships/numbering" Target="/word/numbering.xml" Id="R6a4af516148f4063" /><Relationship Type="http://schemas.openxmlformats.org/officeDocument/2006/relationships/hyperlink" Target="https://meteor-uat.aihw.gov.au/RegistrationAuthority/9" TargetMode="External" Id="Rd86a938ff76c4144" /><Relationship Type="http://schemas.openxmlformats.org/officeDocument/2006/relationships/hyperlink" Target="https://meteor-uat.aihw.gov.au/content/523405" TargetMode="External" Id="R2843ac6cb0c54b20" /><Relationship Type="http://schemas.openxmlformats.org/officeDocument/2006/relationships/hyperlink" Target="https://meteor-uat.aihw.gov.au/RegistrationAuthority/9" TargetMode="External" Id="Rca461ddbe3074303" /><Relationship Type="http://schemas.openxmlformats.org/officeDocument/2006/relationships/hyperlink" Target="https://meteor-uat.aihw.gov.au/content/438692" TargetMode="External" Id="Rbdef9b9d87c145e6" /><Relationship Type="http://schemas.openxmlformats.org/officeDocument/2006/relationships/hyperlink" Target="https://meteor-uat.aihw.gov.au/RegistrationAuthority/9" TargetMode="External" Id="R4a879c2566c1449d" /></Relationships>
</file>

<file path=word/_rels/header1.xml.rels>&#65279;<?xml version="1.0" encoding="utf-8"?><Relationships xmlns="http://schemas.openxmlformats.org/package/2006/relationships"><Relationship Type="http://schemas.openxmlformats.org/officeDocument/2006/relationships/image" Target="/media/image.png" Id="Rccf6d10230b74212" /></Relationships>
</file>