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77213945644e8" /></Relationships>
</file>

<file path=word/document.xml><?xml version="1.0" encoding="utf-8"?>
<w:document xmlns:r="http://schemas.openxmlformats.org/officeDocument/2006/relationships" xmlns:w="http://schemas.openxmlformats.org/wordprocessingml/2006/main">
  <w:body>
    <w:p>
      <w:pPr>
        <w:pStyle w:val="Title"/>
      </w:pPr>
      <w:r>
        <w:t>Person income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(housing assistance)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2a357b636224bdc">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w:t>
                  </w:r>
                </w:p>
              </w:tc>
              <w:tc>
                <w:tcPr>
                  <w:tcMar/>
                  <w:vAlign w:val="top"/>
                </w:tcPr>
                <w:p>
                  <w:hyperlink w:history="true" r:id="Ra47eaf7be8b342c0">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37bc60e6f054da3">
                    <w:r>
                      <w:rPr>
                        <w:rStyle w:val="Hyperlink"/>
                      </w:rPr>
                      <w:t xml:space="preserve">Income unit ID</w:t>
                    </w:r>
                  </w:hyperlink>
                </w:p>
              </w:tc>
              <w:tc>
                <w:tcPr>
                  <w:vAlign w:val="top"/>
                </w:tcPr>
                <w:p>
                  <w:r>
                    <w:t xml:space="preserve">302669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87491230cf84c21">
                    <w:r>
                      <w:rPr>
                        <w:rStyle w:val="Hyperlink"/>
                      </w:rPr>
                      <w:t xml:space="preserve">Income - assessable</w:t>
                    </w:r>
                  </w:hyperlink>
                </w:p>
              </w:tc>
              <w:tc>
                <w:tcPr>
                  <w:vAlign w:val="top"/>
                </w:tcPr>
                <w:p>
                  <w:r>
                    <w:t xml:space="preserve">302218</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584b3883f4db49a3">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d2aa787b85ed4785">
                    <w:r>
                      <w:rPr>
                        <w:rStyle w:val="Hyperlink"/>
                      </w:rPr>
                      <w:t xml:space="preserve">Gross income (person)</w:t>
                    </w:r>
                  </w:hyperlink>
                </w:p>
              </w:tc>
              <w:tc>
                <w:tcPr>
                  <w:vAlign w:val="top"/>
                </w:tcPr>
                <w:p>
                  <w:r>
                    <w:t xml:space="preserve">302481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5b64e3a3bed649c1">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7640fa6d4154ff7">
                    <w:r>
                      <w:rPr>
                        <w:rStyle w:val="Hyperlink"/>
                      </w:rPr>
                      <w:t xml:space="preserve">Principal income source (housing)</w:t>
                    </w:r>
                  </w:hyperlink>
                </w:p>
              </w:tc>
              <w:tc>
                <w:tcPr>
                  <w:vAlign w:val="top"/>
                </w:tcPr>
                <w:p>
                  <w:r>
                    <w:t xml:space="preserve">479197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7c624ec0d0947b4">
                    <w:r>
                      <w:rPr>
                        <w:rStyle w:val="Hyperlink"/>
                      </w:rPr>
                      <w:t xml:space="preserve">Sources of income (housing)</w:t>
                    </w:r>
                  </w:hyperlink>
                </w:p>
              </w:tc>
              <w:tc>
                <w:tcPr>
                  <w:vAlign w:val="top"/>
                </w:tcPr>
                <w:p>
                  <w:r>
                    <w:t xml:space="preserve">513378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a4c63f57db15451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ca89730884d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63f57db154515" /><Relationship Type="http://schemas.openxmlformats.org/officeDocument/2006/relationships/header" Target="/word/header1.xml" Id="R924dc026fd414f51" /><Relationship Type="http://schemas.openxmlformats.org/officeDocument/2006/relationships/settings" Target="/word/settings.xml" Id="R06da54848cd94f94" /><Relationship Type="http://schemas.openxmlformats.org/officeDocument/2006/relationships/styles" Target="/word/styles.xml" Id="R6fa1a82b765744d8" /><Relationship Type="http://schemas.openxmlformats.org/officeDocument/2006/relationships/hyperlink" Target="https://meteor-uat.aihw.gov.au/content/459031" TargetMode="External" Id="Rb2a357b636224bdc" /><Relationship Type="http://schemas.openxmlformats.org/officeDocument/2006/relationships/hyperlink" Target="https://meteor-uat.aihw.gov.au/content/302662" TargetMode="External" Id="Ra47eaf7be8b342c0" /><Relationship Type="http://schemas.openxmlformats.org/officeDocument/2006/relationships/hyperlink" Target="https://meteor-uat.aihw.gov.au/content/302669" TargetMode="External" Id="Ra37bc60e6f054da3" /><Relationship Type="http://schemas.openxmlformats.org/officeDocument/2006/relationships/hyperlink" Target="https://meteor-uat.aihw.gov.au/content/302218" TargetMode="External" Id="R987491230cf84c21" /><Relationship Type="http://schemas.openxmlformats.org/officeDocument/2006/relationships/hyperlink" Target="https://meteor-uat.aihw.gov.au/content/286919" TargetMode="External" Id="R584b3883f4db49a3" /><Relationship Type="http://schemas.openxmlformats.org/officeDocument/2006/relationships/hyperlink" Target="https://meteor-uat.aihw.gov.au/content/302481" TargetMode="External" Id="Rd2aa787b85ed4785" /><Relationship Type="http://schemas.openxmlformats.org/officeDocument/2006/relationships/hyperlink" Target="https://meteor-uat.aihw.gov.au/content/302678" TargetMode="External" Id="R5b64e3a3bed649c1" /><Relationship Type="http://schemas.openxmlformats.org/officeDocument/2006/relationships/hyperlink" Target="https://meteor-uat.aihw.gov.au/content/479197" TargetMode="External" Id="R37640fa6d4154ff7" /><Relationship Type="http://schemas.openxmlformats.org/officeDocument/2006/relationships/hyperlink" Target="https://meteor-uat.aihw.gov.au/content/513378" TargetMode="External" Id="Rd7c624ec0d0947b4" /></Relationships>
</file>

<file path=word/_rels/header1.xml.rels>&#65279;<?xml version="1.0" encoding="utf-8"?><Relationships xmlns="http://schemas.openxmlformats.org/package/2006/relationships"><Relationship Type="http://schemas.openxmlformats.org/officeDocument/2006/relationships/image" Target="/media/image.png" Id="Re97ca89730884d89" /></Relationships>
</file>