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f179d999f4812"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f0e575a560c409b">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693eb2260bd04e71">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807448e32cc401b">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3add3004719a4cd7">
                    <w:r>
                      <w:rPr>
                        <w:rStyle w:val="Hyperlink"/>
                      </w:rPr>
                      <w:t xml:space="preserve">Vacant days</w:t>
                    </w:r>
                  </w:hyperlink>
                </w:p>
              </w:tc>
              <w:tc>
                <w:tcPr>
                  <w:vAlign w:val="top"/>
                </w:tcPr>
                <w:p>
                  <w:r>
                    <w:t xml:space="preserve">459071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0b154766a2a415f">
                    <w:r>
                      <w:rPr>
                        <w:rStyle w:val="Hyperlink"/>
                      </w:rPr>
                      <w:t xml:space="preserve">Vacancy end date</w:t>
                    </w:r>
                  </w:hyperlink>
                </w:p>
              </w:tc>
              <w:tc>
                <w:tcPr>
                  <w:vAlign w:val="top"/>
                </w:tcPr>
                <w:p>
                  <w:r>
                    <w:t xml:space="preserve">474746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f0b2355a506477a">
                    <w:r>
                      <w:rPr>
                        <w:rStyle w:val="Hyperlink"/>
                      </w:rPr>
                      <w:t xml:space="preserve">Vacancy reason</w:t>
                    </w:r>
                  </w:hyperlink>
                </w:p>
              </w:tc>
              <w:tc>
                <w:tcPr>
                  <w:vAlign w:val="top"/>
                </w:tcPr>
                <w:p>
                  <w:r>
                    <w:t xml:space="preserve">478921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w:t>
                  </w:r>
                </w:p>
              </w:tc>
              <w:tc>
                <w:tcPr>
                  <w:tcMar/>
                  <w:vAlign w:val="top"/>
                </w:tcPr>
                <w:p>
                  <w:hyperlink w:history="true" r:id="Rc944e3f77950487c">
                    <w:r>
                      <w:rPr>
                        <w:rStyle w:val="Hyperlink"/>
                      </w:rPr>
                      <w:t xml:space="preserve">Vacancy start date</w:t>
                    </w:r>
                  </w:hyperlink>
                </w:p>
              </w:tc>
              <w:tc>
                <w:tcPr>
                  <w:vAlign w:val="top"/>
                </w:tcPr>
                <w:p>
                  <w:r>
                    <w:t xml:space="preserve">473940</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8f1e013fe12a4b8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0ecd1e86d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e013fe12a4b81" /><Relationship Type="http://schemas.openxmlformats.org/officeDocument/2006/relationships/header" Target="/word/header1.xml" Id="R5d1d2078428f46bc" /><Relationship Type="http://schemas.openxmlformats.org/officeDocument/2006/relationships/settings" Target="/word/settings.xml" Id="Rea111a40953d40a8" /><Relationship Type="http://schemas.openxmlformats.org/officeDocument/2006/relationships/styles" Target="/word/styles.xml" Id="R20eb3736eb1e4627" /><Relationship Type="http://schemas.openxmlformats.org/officeDocument/2006/relationships/hyperlink" Target="https://meteor-uat.aihw.gov.au/content/302044" TargetMode="External" Id="R4f0e575a560c409b" /><Relationship Type="http://schemas.openxmlformats.org/officeDocument/2006/relationships/hyperlink" Target="https://meteor-uat.aihw.gov.au/content/302656" TargetMode="External" Id="R693eb2260bd04e71" /><Relationship Type="http://schemas.openxmlformats.org/officeDocument/2006/relationships/hyperlink" Target="https://meteor-uat.aihw.gov.au/content/459031" TargetMode="External" Id="R2807448e32cc401b" /><Relationship Type="http://schemas.openxmlformats.org/officeDocument/2006/relationships/hyperlink" Target="https://meteor-uat.aihw.gov.au/content/459071" TargetMode="External" Id="R3add3004719a4cd7" /><Relationship Type="http://schemas.openxmlformats.org/officeDocument/2006/relationships/hyperlink" Target="https://meteor-uat.aihw.gov.au/content/474746" TargetMode="External" Id="Rb0b154766a2a415f" /><Relationship Type="http://schemas.openxmlformats.org/officeDocument/2006/relationships/hyperlink" Target="https://meteor-uat.aihw.gov.au/content/478921" TargetMode="External" Id="R7f0b2355a506477a" /><Relationship Type="http://schemas.openxmlformats.org/officeDocument/2006/relationships/hyperlink" Target="https://meteor-uat.aihw.gov.au/content/473940" TargetMode="External" Id="Rc944e3f77950487c" /></Relationships>
</file>

<file path=word/_rels/header1.xml.rels>&#65279;<?xml version="1.0" encoding="utf-8"?><Relationships xmlns="http://schemas.openxmlformats.org/package/2006/relationships"><Relationship Type="http://schemas.openxmlformats.org/officeDocument/2006/relationships/image" Target="/media/image.png" Id="Rf500ecd1e86d45e4" /></Relationships>
</file>