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e045b5418a4941"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e3fd946944f89">
              <w:r>
                <w:rPr>
                  <w:rStyle w:val="Hyperlink"/>
                  <w:color w:val="244061"/>
                </w:rPr>
                <w:t xml:space="preserve">Community Services (retired)</w:t>
              </w:r>
            </w:hyperlink>
            <w:r>
              <w:rPr>
                <w:rStyle w:val="row-content"/>
                <w:color w:val="244061"/>
              </w:rPr>
              <w:t xml:space="preserve">, Standard 05/03/2012</w:t>
            </w:r>
          </w:p>
          <w:p>
            <w:pPr>
              <w:spacing w:before="0" w:after="0"/>
            </w:pPr>
            <w:hyperlink w:history="true" r:id="Rc255532961fb4053">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Indigeneity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2. 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rPr>
              <w:t xml:space="preserve">3.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spacing w:after="160"/>
            </w:pPr>
            <w:r>
              <w:rPr>
                <w:rStyle w:val="row-content-rich-text"/>
              </w:rPr>
              <w:t xml:space="preserve">4. The use of 2006 Census data to adjust underlying age-sex specific rates of severe or profound core activity limitation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pPr/>
            <w:r>
              <w:rPr>
                <w:rStyle w:val="row-content-rich-text"/>
              </w:rPr>
              <w:t xml:space="preserve">5. There are issues with the consistency of the numerator and denominator for this performance indicator, as the numerator and denominator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812a01944de6419c">
              <w:r>
                <w:rPr>
                  <w:rStyle w:val="Hyperlink"/>
                </w:rPr>
                <w:t xml:space="preserve">AIHW website</w:t>
              </w:r>
            </w:hyperlink>
            <w:r>
              <w:rPr>
                <w:rStyle w:val="row-content-rich-text"/>
              </w:rPr>
              <w:t xml:space="preserve">.</w:t>
            </w:r>
          </w:p>
          <w:p>
            <w:pPr>
              <w:spacing w:after="160"/>
            </w:pPr>
            <w:r>
              <w:rPr>
                <w:rStyle w:val="row-content-rich-text"/>
              </w:rPr>
              <w:t xml:space="preserve">For general issues relating to the DS/CSTDA NMDS, refer to the DS/CSTDA NMDS Data Quality Statement.</w:t>
            </w:r>
          </w:p>
          <w:p>
            <w:pPr/>
            <w:r>
              <w:rPr>
                <w:rStyle w:val="row-content-rich-text"/>
              </w:rPr>
              <w:t xml:space="preserve">For information on the institutional environment of the ABS, including the legislative obligations of the ABS, please see </w:t>
            </w:r>
            <w:hyperlink w:history="true" r:id="R9850390581184b4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2008–09 and DS NMDS 2009–10</w:t>
            </w:r>
          </w:p>
          <w:p>
            <w:pPr/>
            <w:r>
              <w:rPr>
                <w:rStyle w:val="row-content-rich-text"/>
              </w:rPr>
              <w:t xml:space="preserve">ABS SDAC 2009; Census 2006; Indigenous projected population at 30 June 2008 and 30 June 2009 (projected population is based on data from the 2006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w:t>
            </w:r>
          </w:p>
          <w:p>
            <w:pPr>
              <w:pStyle w:val="ListParagraph"/>
              <w:numPr>
                <w:ilvl w:val="0"/>
                <w:numId w:val="2"/>
              </w:numPr>
            </w:pPr>
            <w:hyperlink w:history="true" r:id="R94857c2d353a458b">
              <w:r>
                <w:rPr>
                  <w:rStyle w:val="Hyperlink"/>
                </w:rPr>
                <w:t xml:space="preserve">Aboriginal and Torres Strait Islander people with disability</w:t>
              </w:r>
            </w:hyperlink>
            <w:r>
              <w:rPr>
                <w:rStyle w:val="row-content-rich-text"/>
              </w:rPr>
              <w:t xml:space="preserve">, part of the Indigenous Observatory</w:t>
            </w:r>
          </w:p>
          <w:p>
            <w:pPr>
              <w:pStyle w:val="ListParagraph"/>
              <w:numPr>
                <w:ilvl w:val="0"/>
                <w:numId w:val="2"/>
              </w:numPr>
            </w:pPr>
            <w:r>
              <w:rPr>
                <w:rStyle w:val="row-content-rich-text"/>
              </w:rPr>
              <w:t xml:space="preserve">Interactive disability data cubes</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321188910f474785">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Data from several different sources, each referencing different time periods, are used to produce performance indicator (f). Data used are from the CSTDA NMDS 2008–09 and DS NMDS 2009–2010, SDAC 2009, Indigenous Projected Population June 2008 and June 2009, and Census 2006. This may reduce the overall quality of the estimates. Some particular issues are listed in the Relevance section of the Data Quality Statement for performance indicator (c). Additionally,</w:t>
            </w:r>
          </w:p>
          <w:p>
            <w:pPr>
              <w:pStyle w:val="ListParagraph"/>
              <w:numPr>
                <w:ilvl w:val="0"/>
                <w:numId w:val="3"/>
              </w:numPr>
            </w:pPr>
            <w:r>
              <w:rPr>
                <w:rStyle w:val="row-content-rich-text"/>
              </w:rPr>
              <w:t xml:space="preserve">The indigeneity data item from the SDAC 2009 is not readily available,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2009. Two particular points of note with regards to this assumption are:</w:t>
            </w:r>
            <w:r>
              <w:br/>
            </w:r>
            <w:r>
              <w:br/>
            </w:r>
            <w:r>
              <w:rPr>
                <w:rStyle w:val="row-content-rich-text"/>
              </w:rPr>
              <w:t xml:space="preserve">        1.</w:t>
            </w:r>
            <w:r>
              <w:rPr>
                <w:rStyle w:val="row-content-rich-text"/>
              </w:rPr>
              <w:t xml:space="preserve">Information from Census 2006 about people with need for assistance with core activities is based on the self enumeration (interview in Indigenous communities)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br/>
            </w:r>
            <w:r>
              <w:rPr>
                <w:rStyle w:val="row-content-rich-text"/>
              </w:rPr>
              <w:t xml:space="preserve">        2.</w:t>
            </w:r>
            <w:r>
              <w:rPr>
                <w:rStyle w:val="row-content-rich-text"/>
              </w:rPr>
              <w:t xml:space="preserve">ABS research indicates that the Indigenous identification rate differs between the Census and interviewer administered surveys.</w:t>
            </w:r>
            <w:r>
              <w:br/>
            </w:r>
          </w:p>
          <w:p>
            <w:pPr>
              <w:pStyle w:val="ListParagraph"/>
              <w:numPr>
                <w:ilvl w:val="0"/>
                <w:numId w:val="3"/>
              </w:numPr>
            </w:pPr>
            <w:r>
              <w:rPr>
                <w:rStyle w:val="row-content-rich-text"/>
              </w:rPr>
              <w:t xml:space="preserve">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p>
          <w:p>
            <w:pPr>
              <w:spacing w:after="160"/>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535caf69f54d4ac1">
              <w:r>
                <w:rPr>
                  <w:rStyle w:val="Hyperlink"/>
                </w:rPr>
                <w:t xml:space="preserve">Disability support services 2008–09</w:t>
              </w:r>
            </w:hyperlink>
            <w:r>
              <w:rPr>
                <w:rStyle w:val="row-content-rich-text"/>
              </w:rPr>
              <w:t xml:space="preserve"> and </w:t>
            </w:r>
            <w:hyperlink w:history="true" r:id="R6ed3aed40db440c6">
              <w:r>
                <w:rPr>
                  <w:rStyle w:val="Hyperlink"/>
                </w:rPr>
                <w:t xml:space="preserve">Disability support services 2009–10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DS/CSTDA NMDS is people for whom Indigenous status is not stated or not collected. For 2009–10, the not stated/not collected rate varied across jurisdictions from a low rate of 0.3% for Australian Government agencies, to a high rate of 13.1% for Northern Territory agencies; the overall rate being 4.2%. For 2008–09, the not stated/not collected rate varied across jurisdictions from a low rate of 0.2% for Australian Government agencies, to a high rate of 12.6% for Victorian agencies; the overall rate being 4.6%. See the accompanying appendix for further details. 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p>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Being a sample survey, estimates from the SDAC 2009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p>
          <w:p>
            <w:pPr>
              <w:spacing w:after="160"/>
            </w:pP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p>
          <w:p>
            <w:pPr>
              <w:spacing w:after="160"/>
            </w:pPr>
            <w:r>
              <w:rPr>
                <w:rStyle w:val="row-content-rich-text"/>
              </w:rPr>
              <w:t xml:space="preserve">Potential sources of error in CQuality statements about Census 2006 data items can be found on the ABS website.</w:t>
            </w:r>
          </w:p>
          <w:p>
            <w:pPr>
              <w:spacing w:after="160"/>
            </w:pPr>
            <w:r>
              <w:rPr>
                <w:rStyle w:val="row-content-rich-text"/>
              </w:rPr>
              <w:t xml:space="preserve">For general issues relating to the SDAC, Census and Indigenous Projected Population, refer to ABS data quality statements.</w:t>
            </w:r>
          </w:p>
          <w:p>
            <w:pPr>
              <w:spacing w:after="160"/>
            </w:pPr>
            <w:r>
              <w:rPr>
                <w:rStyle w:val="row-content-rich-text"/>
              </w:rPr>
              <w:t xml:space="preserve">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 Estimates of the Indigenous net undercount for all jurisdictions are included below.</w:t>
            </w:r>
          </w:p>
          <w:p>
            <w:pPr>
              <w:spacing w:after="160"/>
            </w:pPr>
            <w:r>
              <w:rPr>
                <w:rStyle w:val="row-content-rich-text"/>
              </w:rPr>
              <w:t xml:space="preserve"> </w:t>
            </w:r>
          </w:p>
          <w:p>
            <w:pPr>
              <w:spacing w:after="160"/>
            </w:pPr>
            <w:r>
              <w:rPr>
                <w:rStyle w:val="row-content-rich-text"/>
                <w:i/>
              </w:rPr>
              <w:t xml:space="preserve">Estimated Indigenous net Census undercount</w:t>
            </w:r>
            <w:r>
              <w:br/>
            </w: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2250" w:type="pct"/>
                  <w:vAlign w:val="top"/>
                </w:tcPr>
                <w:p>
                  <w:pPr>
                    <w:spacing w:after="160"/>
                  </w:pPr>
                  <w:r>
                    <w:rPr>
                      <w:rStyle w:val="row-content-rich-text"/>
                      <w:i/>
                    </w:rPr>
                    <w:t xml:space="preserve"> </w:t>
                  </w:r>
                </w:p>
                <w:p>
                  <w:pPr/>
                  <w:r>
                    <w:rPr>
                      <w:rStyle w:val="row-content-rich-text"/>
                      <w:i/>
                      <w:u w:val="single"/>
                    </w:rPr>
                    <w:t xml:space="preserve">Jurisdiction</w:t>
                  </w:r>
                </w:p>
              </w:tc>
              <w:tc>
                <w:tcPr>
                  <w:tcW w:w="2750" w:type="pct"/>
                  <w:vAlign w:val="top"/>
                </w:tcPr>
                <w:p>
                  <w:pPr/>
                  <w:r>
                    <w:rPr>
                      <w:rStyle w:val="row-content-rich-text"/>
                      <w:i/>
                      <w:u w:val="single"/>
                    </w:rPr>
                    <w:t xml:space="preserve">Undercount rate %</w:t>
                  </w:r>
                </w:p>
              </w:tc>
            </w:tr>
            <w:tr>
              <w:trPr/>
              <w:tc>
                <w:tcPr>
                  <w:tcW w:w="2250" w:type="pct"/>
                  <w:vAlign w:val="top"/>
                </w:tcPr>
                <w:p>
                  <w:pPr/>
                  <w:r>
                    <w:rPr>
                      <w:rStyle w:val="row-content-rich-text"/>
                      <w:i/>
                    </w:rPr>
                    <w:t xml:space="preserve">NSW</w:t>
                  </w:r>
                </w:p>
              </w:tc>
              <w:tc>
                <w:tcPr>
                  <w:tcW w:w="2750" w:type="pct"/>
                  <w:vAlign w:val="top"/>
                </w:tcPr>
                <w:p>
                  <w:r>
                    <w:rPr>
                      <w:i/>
                    </w:rPr>
                    <w:t xml:space="preserve">8.6</w:t>
                  </w:r>
                </w:p>
              </w:tc>
            </w:tr>
            <w:tr>
              <w:trPr/>
              <w:tc>
                <w:tcPr>
                  <w:tcW w:w="2250" w:type="pct"/>
                  <w:vAlign w:val="top"/>
                </w:tcPr>
                <w:p>
                  <w:r>
                    <w:rPr>
                      <w:i/>
                    </w:rPr>
                    <w:t xml:space="preserve">Vic.</w:t>
                  </w:r>
                </w:p>
              </w:tc>
              <w:tc>
                <w:tcPr>
                  <w:tcW w:w="2750" w:type="pct"/>
                  <w:vAlign w:val="top"/>
                </w:tcPr>
                <w:p>
                  <w:r>
                    <w:rPr>
                      <w:i/>
                    </w:rPr>
                    <w:t xml:space="preserve">9.4</w:t>
                  </w:r>
                </w:p>
              </w:tc>
            </w:tr>
            <w:tr>
              <w:trPr/>
              <w:tc>
                <w:tcPr>
                  <w:tcW w:w="2250" w:type="pct"/>
                  <w:vAlign w:val="top"/>
                </w:tcPr>
                <w:p>
                  <w:r>
                    <w:rPr>
                      <w:i/>
                    </w:rPr>
                    <w:t xml:space="preserve">Qld</w:t>
                  </w:r>
                </w:p>
              </w:tc>
              <w:tc>
                <w:tcPr>
                  <w:tcW w:w="2750" w:type="pct"/>
                  <w:vAlign w:val="top"/>
                </w:tcPr>
                <w:p>
                  <w:r>
                    <w:rPr>
                      <w:i/>
                    </w:rPr>
                    <w:t xml:space="preserve">11.6</w:t>
                  </w:r>
                </w:p>
              </w:tc>
            </w:tr>
            <w:tr>
              <w:trPr/>
              <w:tc>
                <w:tcPr>
                  <w:tcW w:w="2250" w:type="pct"/>
                  <w:vAlign w:val="top"/>
                </w:tcPr>
                <w:p>
                  <w:r>
                    <w:rPr>
                      <w:i/>
                    </w:rPr>
                    <w:t xml:space="preserve">WA</w:t>
                  </w:r>
                </w:p>
              </w:tc>
              <w:tc>
                <w:tcPr>
                  <w:tcW w:w="2750" w:type="pct"/>
                  <w:vAlign w:val="top"/>
                </w:tcPr>
                <w:p>
                  <w:r>
                    <w:rPr>
                      <w:i/>
                    </w:rPr>
                    <w:t xml:space="preserve">16.6</w:t>
                  </w:r>
                </w:p>
              </w:tc>
            </w:tr>
            <w:tr>
              <w:trPr/>
              <w:tc>
                <w:tcPr>
                  <w:tcW w:w="2250" w:type="pct"/>
                  <w:vAlign w:val="top"/>
                </w:tcPr>
                <w:p>
                  <w:r>
                    <w:rPr>
                      <w:i/>
                    </w:rPr>
                    <w:t xml:space="preserve">SA</w:t>
                  </w:r>
                </w:p>
              </w:tc>
              <w:tc>
                <w:tcPr>
                  <w:tcW w:w="2750" w:type="pct"/>
                  <w:vAlign w:val="top"/>
                </w:tcPr>
                <w:p>
                  <w:r>
                    <w:rPr>
                      <w:i/>
                    </w:rPr>
                    <w:t xml:space="preserve">8.6</w:t>
                  </w:r>
                </w:p>
              </w:tc>
            </w:tr>
            <w:tr>
              <w:trPr/>
              <w:tc>
                <w:tcPr>
                  <w:tcW w:w="2250" w:type="pct"/>
                  <w:vAlign w:val="top"/>
                </w:tcPr>
                <w:p>
                  <w:r>
                    <w:rPr>
                      <w:i/>
                    </w:rPr>
                    <w:t xml:space="preserve">Tas.</w:t>
                  </w:r>
                </w:p>
              </w:tc>
              <w:tc>
                <w:tcPr>
                  <w:tcW w:w="2750" w:type="pct"/>
                  <w:vAlign w:val="top"/>
                </w:tcPr>
                <w:p>
                  <w:r>
                    <w:rPr>
                      <w:i/>
                    </w:rPr>
                    <w:t xml:space="preserve">8.8</w:t>
                  </w:r>
                </w:p>
              </w:tc>
            </w:tr>
            <w:tr>
              <w:trPr/>
              <w:tc>
                <w:tcPr>
                  <w:tcW w:w="2250" w:type="pct"/>
                  <w:vAlign w:val="top"/>
                </w:tcPr>
                <w:p>
                  <w:r>
                    <w:rPr>
                      <w:i/>
                    </w:rPr>
                    <w:t xml:space="preserve">ACT</w:t>
                  </w:r>
                </w:p>
              </w:tc>
              <w:tc>
                <w:tcPr>
                  <w:tcW w:w="2750" w:type="pct"/>
                  <w:vAlign w:val="top"/>
                </w:tcPr>
                <w:p>
                  <w:r>
                    <w:rPr>
                      <w:i/>
                    </w:rPr>
                    <w:t xml:space="preserve">8.8</w:t>
                  </w:r>
                </w:p>
              </w:tc>
            </w:tr>
            <w:tr>
              <w:trPr/>
              <w:tc>
                <w:tcPr>
                  <w:tcW w:w="2250" w:type="pct"/>
                  <w:vAlign w:val="top"/>
                </w:tcPr>
                <w:p>
                  <w:r>
                    <w:rPr>
                      <w:i/>
                    </w:rPr>
                    <w:t xml:space="preserve">NT</w:t>
                  </w:r>
                </w:p>
              </w:tc>
              <w:tc>
                <w:tcPr>
                  <w:tcW w:w="2750" w:type="pct"/>
                  <w:vAlign w:val="top"/>
                </w:tcPr>
                <w:p>
                  <w:r>
                    <w:rPr>
                      <w:i/>
                    </w:rPr>
                    <w:t xml:space="preserve">16.0</w:t>
                  </w:r>
                </w:p>
              </w:tc>
            </w:tr>
          </w:tbl>
          <w:p>
            <w:r>
              <w:rPr>
                <w:i/>
              </w:rPr>
              <w:t xml:space="preserve"> </w:t>
            </w:r>
          </w:p>
          <w:p>
            <w:r>
              <w:rPr>
                <w:i/>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i/>
                    </w:rPr>
                    <w:t xml:space="preserve">Source: ABS Cat no. 3238.0.55.001</w:t>
                  </w:r>
                </w:p>
              </w:tc>
            </w:tr>
          </w:tbl>
          <w:p>
            <w:r>
              <w:rPr>
                <w:i/>
              </w:rPr>
              <w:t xml:space="preserve"> </w:t>
            </w:r>
          </w:p>
          <w:p>
            <w:r>
              <w:rPr>
                <w:i/>
              </w:rPr>
              <w:t xml:space="preserve">Quality statements about Census 2006 data items can be found on the </w:t>
            </w:r>
            <w:hyperlink w:history="true" r:id="Re93cce048d8f4aa4">
              <w:r>
                <w:rPr>
                  <w:rStyle w:val="Hyperlink"/>
                  <w:i/>
                </w:rPr>
                <w:t xml:space="preserve">ABS website</w:t>
              </w:r>
            </w:hyperlink>
            <w:r>
              <w:rPr>
                <w:i/>
              </w:rPr>
              <w:t xml:space="preserve">.</w:t>
            </w:r>
          </w:p>
          <w:p>
            <w:r>
              <w:rPr>
                <w:i/>
              </w:rPr>
              <w:t xml:space="preserve">For general issues relating to the SDAC, Census and Indigenous Projected Population, refer to ABS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State/Territory delivered disability support services in 2009–10 is reported to be 128.4% (131.6% in 2008-09). A combination of data quality issues, as discussed in this and previous sections, has led to this impossible figure.</w:t>
            </w:r>
          </w:p>
          <w:p>
            <w:pPr>
              <w:spacing w:after="160"/>
            </w:pPr>
            <w:r>
              <w:rPr>
                <w:rStyle w:val="row-content-rich-text"/>
              </w:rPr>
              <w:t xml:space="preserve">While the numerator is taken from the DS/CSTDA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pPr>
              <w:spacing w:after="160"/>
            </w:pPr>
            <w:r>
              <w:rPr>
                <w:rStyle w:val="row-content-rich-text"/>
              </w:rPr>
              <w:t xml:space="preserve">The method used to calculate the Indigenous potential population estimates is the same as that adopted by the Disability Services Working Group for calculation of special needs group indicators for the Report on Government Services 2011.</w:t>
            </w:r>
          </w:p>
          <w:p>
            <w:pPr/>
            <w:r>
              <w:rPr>
                <w:rStyle w:val="row-content-rich-text"/>
              </w:rPr>
              <w:t xml:space="preserve">For general issues relating to the SDAC, Census and Indigenous Projected Population, refer to ABS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dff92eb1864de5">
              <w:r>
                <w:rPr>
                  <w:rStyle w:val="Hyperlink"/>
                </w:rPr>
                <w:t xml:space="preserve">Number of Indigenous people with disability receiving disability services as a proportion of the Indigenous potential population requiring services, 2011 QS</w:t>
              </w:r>
            </w:hyperlink>
          </w:p>
          <w:p>
            <w:pPr>
              <w:pStyle w:val="registration-status"/>
              <w:spacing w:before="0" w:after="0"/>
            </w:pPr>
            <w:hyperlink w:history="true" r:id="Rb9c192da3bc54ce3">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0c1c9aec4b4fb7">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0f35176c8f4440dd">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f501bf66ee93433a">
              <w:r>
                <w:rPr>
                  <w:rStyle w:val="Hyperlink"/>
                  <w:color w:val="244061"/>
                </w:rPr>
                <w:t xml:space="preserve">Indigenous</w:t>
              </w:r>
            </w:hyperlink>
            <w:r>
              <w:rPr>
                <w:rStyle w:val="row-content"/>
                <w:color w:val="244061"/>
              </w:rPr>
              <w:t xml:space="preserve">, Standard 11/09/2012</w:t>
            </w:r>
          </w:p>
          <w:p>
            <w:r>
              <w:br/>
            </w:r>
            <w:hyperlink w:history="true" r:id="R6848b80f44384762">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adece5509b494ed1">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9717f92508e54be3">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1a1592d8bffe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478532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b91d5ce6a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592d8bffe43d1" /><Relationship Type="http://schemas.openxmlformats.org/officeDocument/2006/relationships/header" Target="/word/header1.xml" Id="R1d3afc53234142ab" /><Relationship Type="http://schemas.openxmlformats.org/officeDocument/2006/relationships/settings" Target="/word/settings.xml" Id="R45caee5b2ae4417f" /><Relationship Type="http://schemas.openxmlformats.org/officeDocument/2006/relationships/styles" Target="/word/styles.xml" Id="R49a6fd9f600648f5" /><Relationship Type="http://schemas.openxmlformats.org/officeDocument/2006/relationships/numbering" Target="/word/numbering.xml" Id="Rfc40b73597d3406d" /><Relationship Type="http://schemas.openxmlformats.org/officeDocument/2006/relationships/hyperlink" Target="https://meteor-uat.aihw.gov.au/RegistrationAuthority/3" TargetMode="External" Id="R557e3fd946944f89" /><Relationship Type="http://schemas.openxmlformats.org/officeDocument/2006/relationships/hyperlink" Target="https://meteor-uat.aihw.gov.au/RegistrationAuthority/9" TargetMode="External" Id="Rc255532961fb4053" /><Relationship Type="http://schemas.openxmlformats.org/officeDocument/2006/relationships/hyperlink" Target="http://www.aihw.gov.au/" TargetMode="External" Id="R812a01944de6419c" /><Relationship Type="http://schemas.openxmlformats.org/officeDocument/2006/relationships/hyperlink" Target="http://http//www.abs.gov.au/websitedbs/D3310114.nsf/4a256353001af3ed4b2562bb00121564/10ca14cb967e5b83ca2573ae00197b65!OpenDocument" TargetMode="External" Id="R9850390581184b4c" /><Relationship Type="http://schemas.openxmlformats.org/officeDocument/2006/relationships/hyperlink" Target="http://www.aihw.gov.au/indigenous-observatory-disability/" TargetMode="External" Id="R94857c2d353a458b" /><Relationship Type="http://schemas.openxmlformats.org/officeDocument/2006/relationships/hyperlink" Target="http://www.aihw.gov.au/" TargetMode="External" Id="R321188910f474785" /><Relationship Type="http://schemas.openxmlformats.org/officeDocument/2006/relationships/hyperlink" Target="http://www.aihw.gov.au/disability-publications/" TargetMode="External" Id="R535caf69f54d4ac1" /><Relationship Type="http://schemas.openxmlformats.org/officeDocument/2006/relationships/hyperlink" Target="http://www.aihw.gov.au/disability-publications/" TargetMode="External" Id="R6ed3aed40db440c6" /><Relationship Type="http://schemas.openxmlformats.org/officeDocument/2006/relationships/hyperlink" Target="http://www.abs.gov.au/" TargetMode="External" Id="Re93cce048d8f4aa4" /><Relationship Type="http://schemas.openxmlformats.org/officeDocument/2006/relationships/hyperlink" Target="https://meteor-uat.aihw.gov.au/content/453681" TargetMode="External" Id="R52dff92eb1864de5" /><Relationship Type="http://schemas.openxmlformats.org/officeDocument/2006/relationships/hyperlink" Target="https://meteor-uat.aihw.gov.au/RegistrationAuthority/3" TargetMode="External" Id="Rb9c192da3bc54ce3" /><Relationship Type="http://schemas.openxmlformats.org/officeDocument/2006/relationships/hyperlink" Target="https://meteor-uat.aihw.gov.au/content/467943" TargetMode="External" Id="R1b0c1c9aec4b4fb7" /><Relationship Type="http://schemas.openxmlformats.org/officeDocument/2006/relationships/hyperlink" Target="https://meteor-uat.aihw.gov.au/RegistrationAuthority/3" TargetMode="External" Id="R0f35176c8f4440dd" /><Relationship Type="http://schemas.openxmlformats.org/officeDocument/2006/relationships/hyperlink" Target="https://meteor-uat.aihw.gov.au/RegistrationAuthority/9" TargetMode="External" Id="Rf501bf66ee93433a" /><Relationship Type="http://schemas.openxmlformats.org/officeDocument/2006/relationships/hyperlink" Target="https://meteor-uat.aihw.gov.au/content/467946" TargetMode="External" Id="R6848b80f44384762" /><Relationship Type="http://schemas.openxmlformats.org/officeDocument/2006/relationships/hyperlink" Target="https://meteor-uat.aihw.gov.au/RegistrationAuthority/3" TargetMode="External" Id="Radece5509b494ed1" /><Relationship Type="http://schemas.openxmlformats.org/officeDocument/2006/relationships/hyperlink" Target="https://meteor-uat.aihw.gov.au/RegistrationAuthority/9" TargetMode="External" Id="R9717f92508e54be3" /></Relationships>
</file>

<file path=word/_rels/header1.xml.rels>&#65279;<?xml version="1.0" encoding="utf-8"?><Relationships xmlns="http://schemas.openxmlformats.org/package/2006/relationships"><Relationship Type="http://schemas.openxmlformats.org/officeDocument/2006/relationships/image" Target="/media/image.png" Id="R51eb91d5ce6a4178" /></Relationships>
</file>