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4555965d9a436e"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care—clinical assessment tool used, code AAAAAA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care—clinical assessment tool used, code AAAAAA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Clinical assessment tool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477799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a6bb5c858e4fbf">
              <w:r>
                <w:rPr>
                  <w:rStyle w:val="Hyperlink"/>
                  <w:color w:val="244061"/>
                </w:rPr>
                <w:t xml:space="preserve">Independent Hospital Pricing Authority</w:t>
              </w:r>
            </w:hyperlink>
            <w:r>
              <w:rPr>
                <w:rStyle w:val="row-content"/>
                <w:color w:val="244061"/>
              </w:rPr>
              <w:t xml:space="preserve">, Superseded 11/10/2012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tool used to conduct the clinical assessment of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2e3263b3abf4ab7">
              <w:r>
                <w:rPr>
                  <w:rStyle w:val="Hyperlink"/>
                </w:rPr>
                <w:t xml:space="preserve">Episode of admitted patient care—clinical assessment tool used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58c6fc325174766">
              <w:r>
                <w:rPr>
                  <w:rStyle w:val="Hyperlink"/>
                </w:rPr>
                <w:t xml:space="preserve">Clinical assessment tool code AAAAAA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FIMCOG</w:t>
            </w:r>
          </w:p>
        </w:tc>
        <w:tc>
          <w:tcPr>
            <w:tcBorders>
              <w:top w:val="none" w:color="000000" w:sz="0"/>
              <w:left w:val="none" w:color="000000" w:sz="0"/>
              <w:bottom w:val="none" w:color="000000" w:sz="0"/>
              <w:right w:val="none" w:color="000000" w:sz="0"/>
            </w:tcBorders>
            <w:vAlign w:val="top"/>
          </w:tcPr>
          <w:p>
            <w:r>
              <w:t xml:space="preserve">Functional Independence Measure (FIM) - Social cognition subscale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FIMMOT</w:t>
            </w:r>
          </w:p>
        </w:tc>
        <w:tc>
          <w:tcPr>
            <w:tcBorders>
              <w:top w:val="none" w:color="000000" w:sz="0"/>
              <w:left w:val="none" w:color="000000" w:sz="0"/>
              <w:bottom w:val="none" w:color="000000" w:sz="0"/>
              <w:right w:val="none" w:color="000000" w:sz="0"/>
            </w:tcBorders>
            <w:vAlign w:val="top"/>
          </w:tcPr>
          <w:p>
            <w:r>
              <w:t xml:space="preserve">Functional Independence Measure (FIM) - Motor subscale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HONADL</w:t>
            </w:r>
          </w:p>
        </w:tc>
        <w:tc>
          <w:tcPr>
            <w:tcBorders>
              <w:top w:val="none" w:color="000000" w:sz="0"/>
              <w:left w:val="none" w:color="000000" w:sz="0"/>
              <w:bottom w:val="none" w:color="000000" w:sz="0"/>
              <w:right w:val="none" w:color="000000" w:sz="0"/>
            </w:tcBorders>
            <w:vAlign w:val="top"/>
          </w:tcPr>
          <w:p>
            <w:r>
              <w:t xml:space="preserve">Health of the Nation Outcome Scale (HoNOS) Problems with Activities of Daily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HONBEH</w:t>
            </w:r>
          </w:p>
        </w:tc>
        <w:tc>
          <w:tcPr>
            <w:tcBorders>
              <w:top w:val="none" w:color="000000" w:sz="0"/>
              <w:left w:val="none" w:color="000000" w:sz="0"/>
              <w:bottom w:val="none" w:color="000000" w:sz="0"/>
              <w:right w:val="none" w:color="000000" w:sz="0"/>
            </w:tcBorders>
            <w:vAlign w:val="top"/>
          </w:tcPr>
          <w:p>
            <w:r>
              <w:t xml:space="preserve">Health of the Nation Outcome Scale (HoNOS) Overactive, Aggressive, Disruptive Behaviour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HONTOT</w:t>
            </w:r>
          </w:p>
        </w:tc>
        <w:tc>
          <w:tcPr>
            <w:tcBorders>
              <w:top w:val="none" w:color="000000" w:sz="0"/>
              <w:left w:val="none" w:color="000000" w:sz="0"/>
              <w:bottom w:val="none" w:color="000000" w:sz="0"/>
              <w:right w:val="none" w:color="000000" w:sz="0"/>
            </w:tcBorders>
            <w:vAlign w:val="top"/>
          </w:tcPr>
          <w:p>
            <w:r>
              <w:t xml:space="preserve">Health of the Nation Outcome Scale (HoNOS)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RUGTOT</w:t>
            </w:r>
            <w:r>
              <w:br/>
            </w:r>
            <w:r>
              <w:t xml:space="preserve"> </w:t>
            </w:r>
          </w:p>
        </w:tc>
        <w:tc>
          <w:tcPr>
            <w:tcBorders>
              <w:top w:val="none" w:color="000000" w:sz="0"/>
              <w:left w:val="none" w:color="000000" w:sz="0"/>
              <w:bottom w:val="none" w:color="000000" w:sz="0"/>
              <w:right w:val="none" w:color="000000" w:sz="0"/>
            </w:tcBorders>
            <w:vAlign w:val="top"/>
          </w:tcPr>
          <w:p>
            <w:r>
              <w:t xml:space="preserve">Resource Utilisation Groups - Activities of Daily Living (RUG-ADL) total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required to be recorded for all subacute and non-acute care type episodes when reporting to the Admitted subacute and non-acute ABF DSS.</w:t>
            </w:r>
          </w:p>
          <w:p>
            <w:r>
              <w:br/>
            </w:r>
            <w:r>
              <w:rPr>
                <w:rStyle w:val="row-content-rich-text"/>
              </w:rPr>
              <w:t xml:space="preserve">Functional Independence Measure (FIM)</w:t>
            </w:r>
            <w:r>
              <w:br/>
            </w:r>
            <w:r>
              <w:rPr>
                <w:rStyle w:val="row-content-rich-text"/>
              </w:rPr>
              <w:t xml:space="preserve">The FIM is an assessment of the patient’s severity of disability. FIM is comprised of 18 items,</w:t>
            </w:r>
            <w:r>
              <w:br/>
            </w:r>
            <w:r>
              <w:rPr>
                <w:rStyle w:val="row-content-rich-text"/>
              </w:rPr>
              <w:t xml:space="preserve">grouped into two subscales – motor and cognitive.</w:t>
            </w:r>
          </w:p>
          <w:p>
            <w:pPr>
              <w:spacing w:after="160"/>
            </w:pPr>
            <w:r>
              <w:rPr>
                <w:rStyle w:val="row-content-rich-text"/>
              </w:rPr>
              <w:t xml:space="preserve">The motor subscale includes:</w:t>
            </w:r>
            <w:r>
              <w:br/>
            </w:r>
            <w:r>
              <w:rPr>
                <w:rStyle w:val="row-content-rich-text"/>
              </w:rPr>
              <w:t xml:space="preserve">• Eating</w:t>
            </w:r>
            <w:r>
              <w:br/>
            </w:r>
            <w:r>
              <w:rPr>
                <w:rStyle w:val="row-content-rich-text"/>
              </w:rPr>
              <w:t xml:space="preserve">• Grooming</w:t>
            </w:r>
            <w:r>
              <w:br/>
            </w:r>
            <w:r>
              <w:rPr>
                <w:rStyle w:val="row-content-rich-text"/>
              </w:rPr>
              <w:t xml:space="preserve">• Bathing</w:t>
            </w:r>
            <w:r>
              <w:br/>
            </w:r>
            <w:r>
              <w:rPr>
                <w:rStyle w:val="row-content-rich-text"/>
              </w:rPr>
              <w:t xml:space="preserve">• Dressing, upper body</w:t>
            </w:r>
            <w:r>
              <w:br/>
            </w:r>
            <w:r>
              <w:rPr>
                <w:rStyle w:val="row-content-rich-text"/>
              </w:rPr>
              <w:t xml:space="preserve">• Dressing, lower body</w:t>
            </w:r>
            <w:r>
              <w:br/>
            </w:r>
            <w:r>
              <w:rPr>
                <w:rStyle w:val="row-content-rich-text"/>
              </w:rPr>
              <w:t xml:space="preserve">• Toileting</w:t>
            </w:r>
            <w:r>
              <w:br/>
            </w:r>
            <w:r>
              <w:rPr>
                <w:rStyle w:val="row-content-rich-text"/>
              </w:rPr>
              <w:t xml:space="preserve">• Bladder management</w:t>
            </w:r>
            <w:r>
              <w:br/>
            </w:r>
            <w:r>
              <w:rPr>
                <w:rStyle w:val="row-content-rich-text"/>
              </w:rPr>
              <w:t xml:space="preserve">• Bowel management</w:t>
            </w:r>
            <w:r>
              <w:br/>
            </w:r>
            <w:r>
              <w:rPr>
                <w:rStyle w:val="row-content-rich-text"/>
              </w:rPr>
              <w:t xml:space="preserve">• Transfers - Bed/chair/wheelchair</w:t>
            </w:r>
            <w:r>
              <w:br/>
            </w:r>
            <w:r>
              <w:rPr>
                <w:rStyle w:val="row-content-rich-text"/>
              </w:rPr>
              <w:t xml:space="preserve">• Transfer - Toilet</w:t>
            </w:r>
            <w:r>
              <w:br/>
            </w:r>
            <w:r>
              <w:rPr>
                <w:rStyle w:val="row-content-rich-text"/>
              </w:rPr>
              <w:t xml:space="preserve">• Transfers - Bath/shower</w:t>
            </w:r>
            <w:r>
              <w:br/>
            </w:r>
            <w:r>
              <w:rPr>
                <w:rStyle w:val="row-content-rich-text"/>
              </w:rPr>
              <w:t xml:space="preserve">• Walk/wheelchair</w:t>
            </w:r>
            <w:r>
              <w:br/>
            </w:r>
            <w:r>
              <w:rPr>
                <w:rStyle w:val="row-content-rich-text"/>
              </w:rPr>
              <w:t xml:space="preserve">• Stairs</w:t>
            </w:r>
            <w:r>
              <w:br/>
            </w:r>
            <w:r>
              <w:rPr>
                <w:rStyle w:val="row-content-rich-text"/>
              </w:rPr>
              <w:t xml:space="preserve">The social cognitive subscale includes:</w:t>
            </w:r>
            <w:r>
              <w:br/>
            </w:r>
            <w:r>
              <w:rPr>
                <w:rStyle w:val="row-content-rich-text"/>
              </w:rPr>
              <w:t xml:space="preserve">• Comprehension</w:t>
            </w:r>
            <w:r>
              <w:br/>
            </w:r>
            <w:r>
              <w:rPr>
                <w:rStyle w:val="row-content-rich-text"/>
              </w:rPr>
              <w:t xml:space="preserve">• Expression</w:t>
            </w:r>
            <w:r>
              <w:br/>
            </w:r>
            <w:r>
              <w:rPr>
                <w:rStyle w:val="row-content-rich-text"/>
              </w:rPr>
              <w:t xml:space="preserve">• Social interaction</w:t>
            </w:r>
            <w:r>
              <w:br/>
            </w:r>
            <w:r>
              <w:rPr>
                <w:rStyle w:val="row-content-rich-text"/>
              </w:rPr>
              <w:t xml:space="preserve">• Problem solving</w:t>
            </w:r>
            <w:r>
              <w:br/>
            </w:r>
            <w:r>
              <w:rPr>
                <w:rStyle w:val="row-content-rich-text"/>
              </w:rPr>
              <w:t xml:space="preserve">• Memory</w:t>
            </w:r>
            <w:r>
              <w:br/>
            </w:r>
            <w:r>
              <w:rPr>
                <w:rStyle w:val="row-content-rich-text"/>
              </w:rPr>
              <w:t xml:space="preserve"> </w:t>
            </w:r>
          </w:p>
          <w:p>
            <w:pPr>
              <w:spacing w:after="160"/>
            </w:pPr>
            <w:r>
              <w:rPr>
                <w:rStyle w:val="row-content-rich-text"/>
              </w:rPr>
              <w:t xml:space="preserve">Each item is scored on a 7 point ordinal scale ranging from a score of 1 to a score of 7. The higher</w:t>
            </w:r>
            <w:r>
              <w:br/>
            </w:r>
            <w:r>
              <w:rPr>
                <w:rStyle w:val="row-content-rich-text"/>
              </w:rPr>
              <w:t xml:space="preserve">the score, the more independent the patient is in performing the task associated with that item.</w:t>
            </w:r>
            <w:r>
              <w:br/>
            </w:r>
            <w:r>
              <w:rPr>
                <w:rStyle w:val="row-content-rich-text"/>
              </w:rPr>
              <w:t xml:space="preserve">Value Meaning</w:t>
            </w:r>
            <w:r>
              <w:br/>
            </w:r>
            <w:r>
              <w:rPr>
                <w:rStyle w:val="row-content-rich-text"/>
              </w:rPr>
              <w:t xml:space="preserve">1 Total assistance with helper</w:t>
            </w:r>
            <w:r>
              <w:br/>
            </w:r>
            <w:r>
              <w:rPr>
                <w:rStyle w:val="row-content-rich-text"/>
              </w:rPr>
              <w:t xml:space="preserve">2 Maximal assistance with helper</w:t>
            </w:r>
            <w:r>
              <w:br/>
            </w:r>
            <w:r>
              <w:rPr>
                <w:rStyle w:val="row-content-rich-text"/>
              </w:rPr>
              <w:t xml:space="preserve">3 Moderate assistance with helper</w:t>
            </w:r>
            <w:r>
              <w:br/>
            </w:r>
            <w:r>
              <w:rPr>
                <w:rStyle w:val="row-content-rich-text"/>
              </w:rPr>
              <w:t xml:space="preserve">4 Minimal assistance with helper</w:t>
            </w:r>
            <w:r>
              <w:br/>
            </w:r>
            <w:r>
              <w:rPr>
                <w:rStyle w:val="row-content-rich-text"/>
              </w:rPr>
              <w:t xml:space="preserve">5 Supervision or setup with helper</w:t>
            </w:r>
            <w:r>
              <w:br/>
            </w:r>
            <w:r>
              <w:rPr>
                <w:rStyle w:val="row-content-rich-text"/>
              </w:rPr>
              <w:t xml:space="preserve">6 Modified independence with no helper</w:t>
            </w:r>
            <w:r>
              <w:br/>
            </w:r>
            <w:r>
              <w:rPr>
                <w:rStyle w:val="row-content-rich-text"/>
              </w:rPr>
              <w:t xml:space="preserve">7 Complete independence with no helper</w:t>
            </w:r>
            <w:r>
              <w:br/>
            </w:r>
            <w:r>
              <w:rPr>
                <w:rStyle w:val="row-content-rich-text"/>
              </w:rPr>
              <w:t xml:space="preserve"> </w:t>
            </w:r>
          </w:p>
          <w:p>
            <w:pPr>
              <w:spacing w:after="160"/>
            </w:pPr>
            <w:r>
              <w:rPr>
                <w:rStyle w:val="row-content-rich-text"/>
              </w:rPr>
              <w:t xml:space="preserve">FIMMOT</w:t>
            </w:r>
            <w:r>
              <w:br/>
            </w:r>
            <w:r>
              <w:rPr>
                <w:rStyle w:val="row-content-rich-text"/>
              </w:rPr>
              <w:t xml:space="preserve">The sum of the 13 motor scale items of the FIM assessment tool.</w:t>
            </w:r>
            <w:r>
              <w:br/>
            </w:r>
            <w:r>
              <w:rPr>
                <w:rStyle w:val="row-content-rich-text"/>
              </w:rPr>
              <w:t xml:space="preserve"> </w:t>
            </w:r>
          </w:p>
          <w:p>
            <w:pPr>
              <w:spacing w:after="160"/>
            </w:pPr>
            <w:r>
              <w:rPr>
                <w:rStyle w:val="row-content-rich-text"/>
              </w:rPr>
              <w:t xml:space="preserve">FIMCOG</w:t>
            </w:r>
            <w:r>
              <w:br/>
            </w:r>
            <w:r>
              <w:rPr>
                <w:rStyle w:val="row-content-rich-text"/>
              </w:rPr>
              <w:t xml:space="preserve">The sum of the 5 cognitive scale items of the FIM assessment tool.</w:t>
            </w:r>
            <w:r>
              <w:br/>
            </w:r>
            <w:r>
              <w:rPr>
                <w:rStyle w:val="row-content-rich-text"/>
              </w:rPr>
              <w:t xml:space="preserve"> </w:t>
            </w:r>
          </w:p>
          <w:p>
            <w:pPr>
              <w:spacing w:after="160"/>
            </w:pPr>
            <w:r>
              <w:rPr>
                <w:rStyle w:val="row-content-rich-text"/>
              </w:rPr>
              <w:t xml:space="preserve">The FIMCOG and FIMMOT assessment is required to be recorded at the commencement of the</w:t>
            </w:r>
            <w:r>
              <w:br/>
            </w:r>
            <w:r>
              <w:rPr>
                <w:rStyle w:val="row-content-rich-text"/>
              </w:rPr>
              <w:t xml:space="preserve">episode of care for all rehabilitation and geriatric evaluation and management (GEM) care type</w:t>
            </w:r>
            <w:r>
              <w:br/>
            </w:r>
            <w:r>
              <w:rPr>
                <w:rStyle w:val="row-content-rich-text"/>
              </w:rPr>
              <w:t xml:space="preserve">episodes.</w:t>
            </w:r>
            <w:r>
              <w:br/>
            </w:r>
            <w:r>
              <w:rPr>
                <w:rStyle w:val="row-content-rich-text"/>
              </w:rPr>
              <w:t xml:space="preserve"> </w:t>
            </w:r>
          </w:p>
          <w:p>
            <w:pPr>
              <w:spacing w:after="160"/>
            </w:pPr>
            <w:r>
              <w:rPr>
                <w:rStyle w:val="row-content-rich-text"/>
              </w:rPr>
              <w:t xml:space="preserve">Health of the Nation Outcome Scale (HoNOS)</w:t>
            </w:r>
            <w:r>
              <w:br/>
            </w:r>
            <w:r>
              <w:rPr>
                <w:rStyle w:val="row-content-rich-text"/>
              </w:rPr>
              <w:t xml:space="preserve">HoNOS is a clinical assessment tool used by mental health professionals to evaluate psychiatrichealth service users. Together, they rate various aspects of mental and social health, each on a scale of 0-4.</w:t>
            </w:r>
            <w:r>
              <w:br/>
            </w:r>
            <w:r>
              <w:rPr>
                <w:rStyle w:val="row-content-rich-text"/>
              </w:rPr>
              <w:t xml:space="preserve">Value Meaning</w:t>
            </w:r>
            <w:r>
              <w:br/>
            </w:r>
            <w:r>
              <w:rPr>
                <w:rStyle w:val="row-content-rich-text"/>
              </w:rPr>
              <w:t xml:space="preserve">0 No problems within the period stated</w:t>
            </w:r>
            <w:r>
              <w:br/>
            </w:r>
            <w:r>
              <w:rPr>
                <w:rStyle w:val="row-content-rich-text"/>
              </w:rPr>
              <w:t xml:space="preserve">1 Minor problem requiring no action</w:t>
            </w:r>
            <w:r>
              <w:br/>
            </w:r>
            <w:r>
              <w:rPr>
                <w:rStyle w:val="row-content-rich-text"/>
              </w:rPr>
              <w:t xml:space="preserve">2 Mild problem but definitely present</w:t>
            </w:r>
            <w:r>
              <w:br/>
            </w:r>
            <w:r>
              <w:rPr>
                <w:rStyle w:val="row-content-rich-text"/>
              </w:rPr>
              <w:t xml:space="preserve">3 Moderately severe problem</w:t>
            </w:r>
            <w:r>
              <w:br/>
            </w:r>
            <w:r>
              <w:rPr>
                <w:rStyle w:val="row-content-rich-text"/>
              </w:rPr>
              <w:t xml:space="preserve">4 Severe to very severe problem</w:t>
            </w:r>
            <w:r>
              <w:br/>
            </w:r>
            <w:r>
              <w:rPr>
                <w:rStyle w:val="row-content-rich-text"/>
              </w:rPr>
              <w:t xml:space="preserve">The scales are as follows:</w:t>
            </w:r>
            <w:r>
              <w:br/>
            </w:r>
            <w:r>
              <w:rPr>
                <w:rStyle w:val="row-content-rich-text"/>
              </w:rPr>
              <w:t xml:space="preserve">• Behavioural disturbance</w:t>
            </w:r>
            <w:r>
              <w:br/>
            </w:r>
            <w:r>
              <w:rPr>
                <w:rStyle w:val="row-content-rich-text"/>
              </w:rPr>
              <w:t xml:space="preserve">• Non-accidental self injury</w:t>
            </w:r>
            <w:r>
              <w:br/>
            </w:r>
            <w:r>
              <w:rPr>
                <w:rStyle w:val="row-content-rich-text"/>
              </w:rPr>
              <w:t xml:space="preserve">• Problem Drinking or Drug Use</w:t>
            </w:r>
            <w:r>
              <w:br/>
            </w:r>
            <w:r>
              <w:rPr>
                <w:rStyle w:val="row-content-rich-text"/>
              </w:rPr>
              <w:t xml:space="preserve">• Cognitive Problems</w:t>
            </w:r>
            <w:r>
              <w:br/>
            </w:r>
            <w:r>
              <w:rPr>
                <w:rStyle w:val="row-content-rich-text"/>
              </w:rPr>
              <w:t xml:space="preserve">• Problems related to physical illness or disability</w:t>
            </w:r>
            <w:r>
              <w:br/>
            </w:r>
            <w:r>
              <w:rPr>
                <w:rStyle w:val="row-content-rich-text"/>
              </w:rPr>
              <w:t xml:space="preserve">• Problems associated with hallucinations and delusions</w:t>
            </w:r>
            <w:r>
              <w:br/>
            </w:r>
            <w:r>
              <w:rPr>
                <w:rStyle w:val="row-content-rich-text"/>
              </w:rPr>
              <w:t xml:space="preserve">• Problems associated with depressive symptoms</w:t>
            </w:r>
            <w:r>
              <w:br/>
            </w:r>
            <w:r>
              <w:rPr>
                <w:rStyle w:val="row-content-rich-text"/>
              </w:rPr>
              <w:t xml:space="preserve">• Other mental and behavioural problems</w:t>
            </w:r>
            <w:r>
              <w:br/>
            </w:r>
            <w:r>
              <w:rPr>
                <w:rStyle w:val="row-content-rich-text"/>
              </w:rPr>
              <w:t xml:space="preserve">• Problems with social or supportive relationships</w:t>
            </w:r>
            <w:r>
              <w:br/>
            </w:r>
            <w:r>
              <w:rPr>
                <w:rStyle w:val="row-content-rich-text"/>
              </w:rPr>
              <w:t xml:space="preserve">• Problems with activities of daily living</w:t>
            </w:r>
            <w:r>
              <w:br/>
            </w:r>
            <w:r>
              <w:rPr>
                <w:rStyle w:val="row-content-rich-text"/>
              </w:rPr>
              <w:t xml:space="preserve">• Overall problems with living conditions</w:t>
            </w:r>
            <w:r>
              <w:br/>
            </w:r>
            <w:r>
              <w:rPr>
                <w:rStyle w:val="row-content-rich-text"/>
              </w:rPr>
              <w:t xml:space="preserve">• Problems with work and leisure activities and the quality of the daytime environment</w:t>
            </w:r>
            <w:r>
              <w:br/>
            </w:r>
            <w:r>
              <w:rPr>
                <w:rStyle w:val="row-content-rich-text"/>
              </w:rPr>
              <w:t xml:space="preserve"> </w:t>
            </w:r>
          </w:p>
          <w:p>
            <w:pPr>
              <w:spacing w:after="160"/>
            </w:pPr>
            <w:r>
              <w:rPr>
                <w:rStyle w:val="row-content-rich-text"/>
              </w:rPr>
              <w:t xml:space="preserve">HONADL</w:t>
            </w:r>
            <w:r>
              <w:br/>
            </w:r>
            <w:r>
              <w:rPr>
                <w:rStyle w:val="row-content-rich-text"/>
              </w:rPr>
              <w:t xml:space="preserve">The rating given to the problems with activities of daily living scale in the HoNOS assessment.</w:t>
            </w:r>
          </w:p>
          <w:p>
            <w:r>
              <w:br/>
            </w:r>
            <w:r>
              <w:rPr>
                <w:rStyle w:val="row-content-rich-text"/>
              </w:rPr>
              <w:t xml:space="preserve">HONBEH</w:t>
            </w:r>
            <w:r>
              <w:br/>
            </w:r>
            <w:r>
              <w:rPr>
                <w:rStyle w:val="row-content-rich-text"/>
              </w:rPr>
              <w:t xml:space="preserve">The rating given to the overactive, aggressive, disruptive behaviour scale in the HoNOS</w:t>
            </w:r>
            <w:r>
              <w:br/>
            </w:r>
            <w:r>
              <w:rPr>
                <w:rStyle w:val="row-content-rich-text"/>
              </w:rPr>
              <w:t xml:space="preserve">assessment.</w:t>
            </w:r>
            <w:r>
              <w:br/>
            </w:r>
            <w:r>
              <w:rPr>
                <w:rStyle w:val="row-content-rich-text"/>
              </w:rPr>
              <w:t xml:space="preserve"> </w:t>
            </w:r>
          </w:p>
          <w:p>
            <w:pPr>
              <w:spacing w:after="160"/>
            </w:pPr>
            <w:r>
              <w:rPr>
                <w:rStyle w:val="row-content-rich-text"/>
              </w:rPr>
              <w:t xml:space="preserve">HONTOT</w:t>
            </w:r>
            <w:r>
              <w:br/>
            </w:r>
            <w:r>
              <w:rPr>
                <w:rStyle w:val="row-content-rich-text"/>
              </w:rPr>
              <w:t xml:space="preserve">The sum of all 12 scales of the HoNOS assessment tool.</w:t>
            </w:r>
            <w:r>
              <w:br/>
            </w:r>
            <w:r>
              <w:rPr>
                <w:rStyle w:val="row-content-rich-text"/>
              </w:rPr>
              <w:t xml:space="preserve"> </w:t>
            </w:r>
          </w:p>
          <w:p>
            <w:pPr>
              <w:spacing w:after="160"/>
            </w:pPr>
            <w:r>
              <w:rPr>
                <w:rStyle w:val="row-content-rich-text"/>
              </w:rPr>
              <w:t xml:space="preserve">The HoNOS overactive/aggressive/disruptive behaviour score (HONBEH), plus either the HoNOS</w:t>
            </w:r>
            <w:r>
              <w:br/>
            </w:r>
            <w:r>
              <w:rPr>
                <w:rStyle w:val="row-content-rich-text"/>
              </w:rPr>
              <w:t xml:space="preserve">problems with activities of daily living score (HONADL) or total score (HONTOT) are required to</w:t>
            </w:r>
            <w:r>
              <w:br/>
            </w:r>
            <w:r>
              <w:rPr>
                <w:rStyle w:val="row-content-rich-text"/>
              </w:rPr>
              <w:t xml:space="preserve">be recorded for all psycho geriatric care type episodes. All Health of the Nation Outcomes Scales</w:t>
            </w:r>
            <w:r>
              <w:br/>
            </w:r>
            <w:r>
              <w:rPr>
                <w:rStyle w:val="row-content-rich-text"/>
              </w:rPr>
              <w:t xml:space="preserve">for elderly people (HoNOS65+) can also be used for this data element.</w:t>
            </w:r>
            <w:r>
              <w:br/>
            </w:r>
            <w:r>
              <w:rPr>
                <w:rStyle w:val="row-content-rich-text"/>
              </w:rPr>
              <w:t xml:space="preserve"> </w:t>
            </w:r>
          </w:p>
          <w:p>
            <w:pPr>
              <w:spacing w:after="160"/>
            </w:pPr>
            <w:r>
              <w:rPr>
                <w:rStyle w:val="row-content-rich-text"/>
              </w:rPr>
              <w:t xml:space="preserve">Resource Utilisation Groups – Activities of Daily Living (RUG-ADL)</w:t>
            </w:r>
            <w:r>
              <w:br/>
            </w:r>
            <w:r>
              <w:rPr>
                <w:rStyle w:val="row-content-rich-text"/>
              </w:rPr>
              <w:t xml:space="preserve">The RUG-ADL is a 4 item scale measuring motor function for activities of daily living including</w:t>
            </w:r>
            <w:r>
              <w:br/>
            </w:r>
            <w:r>
              <w:rPr>
                <w:rStyle w:val="row-content-rich-text"/>
              </w:rPr>
              <w:t xml:space="preserve">bed mobility, toileting, transfer and eating.Scores are summed for the 4 ADL variables: bed mobility, toilet use, transfer and eating. A total of RUG-ADL scores ranges from a minimum 4 and maximum 18</w:t>
            </w:r>
          </w:p>
          <w:p>
            <w:r>
              <w:br/>
            </w:r>
            <w:r>
              <w:rPr>
                <w:rStyle w:val="row-content-rich-text"/>
              </w:rPr>
              <w:t xml:space="preserve">For bed mobility, toileting and transfers:</w:t>
            </w:r>
            <w:r>
              <w:br/>
            </w:r>
            <w:r>
              <w:rPr>
                <w:rStyle w:val="row-content-rich-text"/>
              </w:rPr>
              <w:t xml:space="preserve">1 - Independent or supervision only</w:t>
            </w:r>
            <w:r>
              <w:br/>
            </w:r>
            <w:r>
              <w:rPr>
                <w:rStyle w:val="row-content-rich-text"/>
              </w:rPr>
              <w:t xml:space="preserve">3 - Limited physical assistance</w:t>
            </w:r>
            <w:r>
              <w:br/>
            </w:r>
            <w:r>
              <w:rPr>
                <w:rStyle w:val="row-content-rich-text"/>
              </w:rPr>
              <w:t xml:space="preserve">4 - Other than two persons physical assist</w:t>
            </w:r>
            <w:r>
              <w:br/>
            </w:r>
            <w:r>
              <w:rPr>
                <w:rStyle w:val="row-content-rich-text"/>
              </w:rPr>
              <w:t xml:space="preserve">5 - Two or more person physical assist</w:t>
            </w:r>
            <w:r>
              <w:br/>
            </w:r>
            <w:r>
              <w:rPr>
                <w:rStyle w:val="row-content-rich-text"/>
              </w:rPr>
              <w:t xml:space="preserve">Note: a score of 2 is not valid.</w:t>
            </w:r>
            <w:r>
              <w:br/>
            </w:r>
            <w:r>
              <w:rPr>
                <w:rStyle w:val="row-content-rich-text"/>
              </w:rPr>
              <w:t xml:space="preserve">For eating:</w:t>
            </w:r>
            <w:r>
              <w:br/>
            </w:r>
            <w:r>
              <w:rPr>
                <w:rStyle w:val="row-content-rich-text"/>
              </w:rPr>
              <w:t xml:space="preserve">1 - Independent or supervision only</w:t>
            </w:r>
            <w:r>
              <w:br/>
            </w:r>
            <w:r>
              <w:rPr>
                <w:rStyle w:val="row-content-rich-text"/>
              </w:rPr>
              <w:t xml:space="preserve">2 - Limited assistance</w:t>
            </w:r>
            <w:r>
              <w:br/>
            </w:r>
            <w:r>
              <w:rPr>
                <w:rStyle w:val="row-content-rich-text"/>
              </w:rPr>
              <w:t xml:space="preserve">3 - Extensive assistance/total dependence/tube fed</w:t>
            </w:r>
            <w:r>
              <w:br/>
            </w:r>
            <w:r>
              <w:rPr>
                <w:rStyle w:val="row-content-rich-text"/>
              </w:rPr>
              <w:t xml:space="preserve"> </w:t>
            </w:r>
          </w:p>
          <w:p>
            <w:pPr>
              <w:spacing w:after="160"/>
            </w:pPr>
            <w:r>
              <w:rPr>
                <w:rStyle w:val="row-content-rich-text"/>
              </w:rPr>
              <w:t xml:space="preserve">RUGTOT</w:t>
            </w:r>
            <w:r>
              <w:br/>
            </w:r>
            <w:r>
              <w:rPr>
                <w:rStyle w:val="row-content-rich-text"/>
              </w:rPr>
              <w:t xml:space="preserve">The sum of all 4 items of the RUG-ADL assessment.</w:t>
            </w:r>
            <w:r>
              <w:br/>
            </w:r>
            <w:r>
              <w:rPr>
                <w:rStyle w:val="row-content-rich-text"/>
              </w:rPr>
              <w:t xml:space="preserve"> </w:t>
            </w:r>
          </w:p>
          <w:p>
            <w:pPr>
              <w:spacing w:after="160"/>
            </w:pPr>
            <w:r>
              <w:rPr>
                <w:rStyle w:val="row-content-rich-text"/>
              </w:rPr>
              <w:t xml:space="preserve">The RUGTOT assessment is required to be recorded for all palliative care type episodes, at the</w:t>
            </w:r>
            <w:r>
              <w:br/>
            </w:r>
            <w:r>
              <w:rPr>
                <w:rStyle w:val="row-content-rich-text"/>
              </w:rPr>
              <w:t xml:space="preserve">commencement of the episode of care and the commencement of every subsequent phase thereafter</w:t>
            </w:r>
            <w:r>
              <w:br/>
            </w:r>
            <w:r>
              <w:rPr>
                <w:rStyle w:val="row-content-rich-text"/>
              </w:rPr>
              <w:t xml:space="preserve">in the same episode.</w:t>
            </w:r>
            <w:r>
              <w:br/>
            </w:r>
            <w:r>
              <w:rPr>
                <w:rStyle w:val="row-content-rich-text"/>
              </w:rPr>
              <w:t xml:space="preserve"> </w:t>
            </w:r>
          </w:p>
          <w:p>
            <w:pPr/>
            <w:r>
              <w:rPr>
                <w:rStyle w:val="row-content-rich-text"/>
              </w:rPr>
              <w:t xml:space="preserve">The RUGTOT assessment is also required to be recorded at the commencement of the episode of</w:t>
            </w:r>
            <w:r>
              <w:br/>
            </w:r>
            <w:r>
              <w:rPr>
                <w:rStyle w:val="row-content-rich-text"/>
              </w:rPr>
              <w:t xml:space="preserve">care for all maintenance care type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 of collection and rating of each clinical assessment tool must comply with the guidelines related to each individual assessment tool.</w:t>
            </w:r>
          </w:p>
          <w:p>
            <w:r>
              <w:br/>
            </w:r>
            <w:r>
              <w:rPr>
                <w:rStyle w:val="row-content-rich-text"/>
              </w:rPr>
              <w:t xml:space="preserve">For example, the FIM assessment must be completed by the multi disciplinary team within 72 hours</w:t>
            </w:r>
            <w:r>
              <w:br/>
            </w:r>
            <w:r>
              <w:rPr>
                <w:rStyle w:val="row-content-rich-text"/>
              </w:rPr>
              <w:t xml:space="preserve">of admission. The HoNOS assessment must be completed within 72 hours of the episode</w:t>
            </w:r>
            <w:r>
              <w:br/>
            </w:r>
            <w:r>
              <w:rPr>
                <w:rStyle w:val="row-content-rich-text"/>
              </w:rPr>
              <w:t xml:space="preserve">commencing. The RUG-ADL assessment must be completed within 24 hours of the episode</w:t>
            </w:r>
            <w:r>
              <w:br/>
            </w:r>
            <w:r>
              <w:rPr>
                <w:rStyle w:val="row-content-rich-text"/>
              </w:rPr>
              <w:t xml:space="preserve">commencing or a new palliative care phase commencing.</w:t>
            </w:r>
            <w:r>
              <w:br/>
            </w:r>
            <w:r>
              <w:rPr>
                <w:rStyle w:val="row-content-rich-text"/>
              </w:rPr>
              <w:t xml:space="preserve"> </w:t>
            </w:r>
          </w:p>
          <w:p>
            <w:pPr>
              <w:spacing w:after="160"/>
            </w:pPr>
            <w:r>
              <w:rPr>
                <w:rStyle w:val="row-content-rich-text"/>
              </w:rPr>
              <w:t xml:space="preserve">The clinical assessment must be collected at the commencement of each subacute or non-acute</w:t>
            </w:r>
            <w:r>
              <w:br/>
            </w:r>
            <w:r>
              <w:rPr>
                <w:rStyle w:val="row-content-rich-text"/>
              </w:rPr>
              <w:t xml:space="preserve">episode of care.</w:t>
            </w:r>
            <w:r>
              <w:br/>
            </w:r>
            <w:r>
              <w:rPr>
                <w:rStyle w:val="row-content-rich-text"/>
              </w:rPr>
              <w:t xml:space="preserve"> </w:t>
            </w:r>
          </w:p>
          <w:p>
            <w:pPr/>
            <w:r>
              <w:rPr>
                <w:rStyle w:val="row-content-rich-text"/>
              </w:rPr>
              <w:t xml:space="preserve">For palliative care type episodes it must be collected at the commencement of the episode of care</w:t>
            </w:r>
            <w:r>
              <w:br/>
            </w:r>
            <w:r>
              <w:rPr>
                <w:rStyle w:val="row-content-rich-text"/>
              </w:rPr>
              <w:t xml:space="preserve">and the commencement of every subsequent phase thereafter in the same episode. It is optional to record the clinical assessment at the end of the episode.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ad2cb6d316e4d73">
              <w:r>
                <w:rPr>
                  <w:rStyle w:val="Hyperlink"/>
                </w:rPr>
                <w:t xml:space="preserve">Episode of admitted patient care—clinical assessment tool used, code N.N</w:t>
              </w:r>
            </w:hyperlink>
          </w:p>
          <w:p>
            <w:pPr>
              <w:pStyle w:val="registration-status"/>
              <w:spacing w:before="0" w:after="0"/>
            </w:pPr>
            <w:hyperlink w:history="true" r:id="Rd2fa100ca012447d">
              <w:r>
                <w:rPr>
                  <w:rStyle w:val="Hyperlink"/>
                  <w:color w:val="244061"/>
                </w:rPr>
                <w:t xml:space="preserve">Independent Hospital Pricing Authority</w:t>
              </w:r>
            </w:hyperlink>
            <w:r>
              <w:rPr>
                <w:rStyle w:val="row-content"/>
                <w:color w:val="244061"/>
              </w:rPr>
              <w:t xml:space="preserve">, Standard 11/10/2012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0780317d4404c09">
              <w:r>
                <w:rPr>
                  <w:rStyle w:val="Hyperlink"/>
                </w:rPr>
                <w:t xml:space="preserve">Admitted sub-acute and non-acute care activity based funding DSS 2012-2013</w:t>
              </w:r>
            </w:hyperlink>
          </w:p>
          <w:p>
            <w:pPr>
              <w:pStyle w:val="registration-status"/>
              <w:spacing w:before="0" w:after="0"/>
            </w:pPr>
            <w:hyperlink w:history="true" r:id="Rfde1cd27f18d42af">
              <w:r>
                <w:rPr>
                  <w:rStyle w:val="Hyperlink"/>
                  <w:color w:val="244061"/>
                </w:rPr>
                <w:t xml:space="preserve">Independent Hospital Pricing Authority</w:t>
              </w:r>
            </w:hyperlink>
            <w:r>
              <w:rPr>
                <w:rStyle w:val="row-content"/>
                <w:color w:val="244061"/>
              </w:rPr>
              <w:t xml:space="preserve">, Superseded 11/10/2012</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
    <w:p>
      <w:r>
        <w:br/>
      </w:r>
    </w:p>
    <w:sectPr>
      <w:footerReference xmlns:r="http://schemas.openxmlformats.org/officeDocument/2006/relationships" w:type="default" r:id="Rfa2ba9afbcc742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477799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58e68ff64441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2ba9afbcc742c4" /><Relationship Type="http://schemas.openxmlformats.org/officeDocument/2006/relationships/header" Target="/word/header1.xml" Id="R07f78341a6b942e2" /><Relationship Type="http://schemas.openxmlformats.org/officeDocument/2006/relationships/settings" Target="/word/settings.xml" Id="R0099194fe1544f6b" /><Relationship Type="http://schemas.openxmlformats.org/officeDocument/2006/relationships/styles" Target="/word/styles.xml" Id="R6462a6139d6b4f82" /><Relationship Type="http://schemas.openxmlformats.org/officeDocument/2006/relationships/hyperlink" Target="https://meteor-uat.aihw.gov.au/RegistrationAuthority/6" TargetMode="External" Id="R2ea6bb5c858e4fbf" /><Relationship Type="http://schemas.openxmlformats.org/officeDocument/2006/relationships/hyperlink" Target="https://meteor-uat.aihw.gov.au/content/477785" TargetMode="External" Id="R62e3263b3abf4ab7" /><Relationship Type="http://schemas.openxmlformats.org/officeDocument/2006/relationships/hyperlink" Target="https://meteor-uat.aihw.gov.au/content/477780" TargetMode="External" Id="Rd58c6fc325174766" /><Relationship Type="http://schemas.openxmlformats.org/officeDocument/2006/relationships/hyperlink" Target="https://meteor-uat.aihw.gov.au/content/497304" TargetMode="External" Id="Read2cb6d316e4d73" /><Relationship Type="http://schemas.openxmlformats.org/officeDocument/2006/relationships/hyperlink" Target="https://meteor-uat.aihw.gov.au/RegistrationAuthority/6" TargetMode="External" Id="Rd2fa100ca012447d" /><Relationship Type="http://schemas.openxmlformats.org/officeDocument/2006/relationships/hyperlink" Target="https://meteor-uat.aihw.gov.au/content/444303" TargetMode="External" Id="R90780317d4404c09" /><Relationship Type="http://schemas.openxmlformats.org/officeDocument/2006/relationships/hyperlink" Target="https://meteor-uat.aihw.gov.au/RegistrationAuthority/6" TargetMode="External" Id="Rfde1cd27f18d42af" /></Relationships>
</file>

<file path=word/_rels/header1.xml.rels>&#65279;<?xml version="1.0" encoding="utf-8"?><Relationships xmlns="http://schemas.openxmlformats.org/package/2006/relationships"><Relationship Type="http://schemas.openxmlformats.org/officeDocument/2006/relationships/image" Target="/media/image.png" Id="R2e58e68ff64441c8" /></Relationships>
</file>