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fa16330d14f0f"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bfe2e9b1ed742f8">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f61414c6cf184c86">
                    <w:r>
                      <w:rPr>
                        <w:rStyle w:val="Hyperlink"/>
                      </w:rPr>
                      <w:t xml:space="preserve">Average available beds for overnight-stay patients</w:t>
                    </w:r>
                  </w:hyperlink>
                </w:p>
              </w:tc>
              <w:tc>
                <w:tcPr>
                  <w:vAlign w:val="top"/>
                </w:tcPr>
                <w:p>
                  <w:r>
                    <w:t xml:space="preserve">374151</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37652997abcd47de">
                    <w:r>
                      <w:rPr>
                        <w:rStyle w:val="Hyperlink"/>
                      </w:rPr>
                      <w:t xml:space="preserve">Average available beds for same-day patients</w:t>
                    </w:r>
                  </w:hyperlink>
                </w:p>
              </w:tc>
              <w:tc>
                <w:tcPr>
                  <w:vAlign w:val="top"/>
                </w:tcPr>
                <w:p>
                  <w:r>
                    <w:t xml:space="preserve">373966</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4804eb0c27574e42">
                    <w:r>
                      <w:rPr>
                        <w:rStyle w:val="Hyperlink"/>
                      </w:rPr>
                      <w:t xml:space="preserve">Group sessions (public psychiatric, alcohol and drug hospital)—emergency and outpatient</w:t>
                    </w:r>
                  </w:hyperlink>
                </w:p>
              </w:tc>
              <w:tc>
                <w:tcPr>
                  <w:vAlign w:val="top"/>
                </w:tcPr>
                <w:p>
                  <w:r>
                    <w:t xml:space="preserve">270217</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c50db604225a43da">
                    <w:r>
                      <w:rPr>
                        <w:rStyle w:val="Hyperlink"/>
                      </w:rPr>
                      <w:t xml:space="preserve">Group sessions (public psychiatric, alcohol and drug hospital)—outreach and community</w:t>
                    </w:r>
                  </w:hyperlink>
                </w:p>
              </w:tc>
              <w:tc>
                <w:tcPr>
                  <w:vAlign w:val="top"/>
                </w:tcPr>
                <w:p>
                  <w:r>
                    <w:t xml:space="preserve">270219</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fcee01f08a2740c8">
                    <w:r>
                      <w:rPr>
                        <w:rStyle w:val="Hyperlink"/>
                      </w:rPr>
                      <w:t xml:space="preserve">Individual sessions (public psychiatric, alcohol and drug hospital)—emergency and outpatient</w:t>
                    </w:r>
                  </w:hyperlink>
                </w:p>
              </w:tc>
              <w:tc>
                <w:tcPr>
                  <w:vAlign w:val="top"/>
                </w:tcPr>
                <w:p>
                  <w:r>
                    <w:t xml:space="preserve">270216</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69acce1c13f74538">
                    <w:r>
                      <w:rPr>
                        <w:rStyle w:val="Hyperlink"/>
                      </w:rPr>
                      <w:t xml:space="preserve">Individual sessions (public psychiatric, alcohol and drug hospital)—outreach and community</w:t>
                    </w:r>
                  </w:hyperlink>
                </w:p>
              </w:tc>
              <w:tc>
                <w:tcPr>
                  <w:vAlign w:val="top"/>
                </w:tcPr>
                <w:p>
                  <w:r>
                    <w:t xml:space="preserve">270218</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d33791f6adb24f99">
                    <w:r>
                      <w:rPr>
                        <w:rStyle w:val="Hyperlink"/>
                      </w:rPr>
                      <w:t xml:space="preserve">Establishment type</w:t>
                    </w:r>
                  </w:hyperlink>
                </w:p>
              </w:tc>
              <w:tc>
                <w:tcPr>
                  <w:vAlign w:val="top"/>
                </w:tcPr>
                <w:p>
                  <w:r>
                    <w:t xml:space="preserve">269971</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R1.1 </w:t>
                        </w:r>
                      </w:p>
                    </w:tc>
                    <w:tc>
                      <w:tcPr>
                        <w:tcBorders>
                          <w:top w:val="none" w:color="000000" w:sz="0"/>
                          <w:left w:val="none" w:color="000000" w:sz="0"/>
                          <w:bottom w:val="none" w:color="000000" w:sz="0"/>
                          <w:right w:val="none" w:color="000000" w:sz="0"/>
                        </w:tcBorders>
                        <w:tcMar/>
                        <w:vAlign w:val="top"/>
                      </w:tcPr>
                      <w:p>
                        <w:r>
                          <w:t xml:space="preserve">Public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R1.2 </w:t>
                        </w:r>
                      </w:p>
                    </w:tc>
                    <w:tc>
                      <w:tcPr>
                        <w:tcBorders>
                          <w:top w:val="none" w:color="000000" w:sz="0"/>
                          <w:left w:val="none" w:color="000000" w:sz="0"/>
                          <w:bottom w:val="none" w:color="000000" w:sz="0"/>
                          <w:right w:val="none" w:color="000000" w:sz="0"/>
                        </w:tcBorders>
                        <w:tcMar/>
                        <w:vAlign w:val="top"/>
                      </w:tcPr>
                      <w:p>
                        <w:r>
                          <w:t xml:space="preserve">Private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R1.3.1 </w:t>
                        </w:r>
                      </w:p>
                    </w:tc>
                    <w:tc>
                      <w:tcPr>
                        <w:tcBorders>
                          <w:top w:val="none" w:color="000000" w:sz="0"/>
                          <w:left w:val="none" w:color="000000" w:sz="0"/>
                          <w:bottom w:val="none" w:color="000000" w:sz="0"/>
                          <w:right w:val="none" w:color="000000" w:sz="0"/>
                        </w:tcBorders>
                        <w:tcMar/>
                        <w:vAlign w:val="top"/>
                      </w:tcPr>
                      <w:p>
                        <w:r>
                          <w:t xml:space="preserve">Veterans' Affairs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R1.3.2 </w:t>
                        </w:r>
                      </w:p>
                    </w:tc>
                    <w:tc>
                      <w:tcPr>
                        <w:tcBorders>
                          <w:top w:val="none" w:color="000000" w:sz="0"/>
                          <w:left w:val="none" w:color="000000" w:sz="0"/>
                          <w:bottom w:val="none" w:color="000000" w:sz="0"/>
                          <w:right w:val="none" w:color="000000" w:sz="0"/>
                        </w:tcBorders>
                        <w:tcMar/>
                        <w:vAlign w:val="top"/>
                      </w:tcPr>
                      <w:p>
                        <w:r>
                          <w:t xml:space="preserve">Defence force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R1.3.3 </w:t>
                        </w:r>
                      </w:p>
                    </w:tc>
                    <w:tc>
                      <w:tcPr>
                        <w:tcBorders>
                          <w:top w:val="none" w:color="000000" w:sz="0"/>
                          <w:left w:val="none" w:color="000000" w:sz="0"/>
                          <w:bottom w:val="none" w:color="000000" w:sz="0"/>
                          <w:right w:val="none" w:color="000000" w:sz="0"/>
                        </w:tcBorders>
                        <w:tcMar/>
                        <w:vAlign w:val="top"/>
                      </w:tcPr>
                      <w:p>
                        <w:r>
                          <w:t xml:space="preserve">Other Commonwealth hospital</w:t>
                        </w:r>
                      </w:p>
                    </w:tc>
                  </w:tr>
                  <w:tr>
                    <w:trPr/>
                    <w:tc>
                      <w:tcPr>
                        <w:tcW w:w="1000" w:type="pct"/>
                        <w:tcBorders>
                          <w:top w:val="none" w:color="000000" w:sz="0"/>
                          <w:left w:val="none" w:color="000000" w:sz="0"/>
                          <w:bottom w:val="none" w:color="000000" w:sz="0"/>
                          <w:right w:val="none" w:color="000000" w:sz="0"/>
                        </w:tcBorders>
                        <w:tcMar/>
                        <w:vAlign w:val="top"/>
                      </w:tcPr>
                      <w:p>
                        <w:r>
                          <w:t xml:space="preserve">R2.1 </w:t>
                        </w:r>
                      </w:p>
                    </w:tc>
                    <w:tc>
                      <w:tcPr>
                        <w:tcBorders>
                          <w:top w:val="none" w:color="000000" w:sz="0"/>
                          <w:left w:val="none" w:color="000000" w:sz="0"/>
                          <w:bottom w:val="none" w:color="000000" w:sz="0"/>
                          <w:right w:val="none" w:color="000000" w:sz="0"/>
                        </w:tcBorders>
                        <w:tcMar/>
                        <w:vAlign w:val="top"/>
                      </w:tcPr>
                      <w:p>
                        <w:r>
                          <w:t xml:space="preserve">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R2.2 </w:t>
                        </w:r>
                      </w:p>
                    </w:tc>
                    <w:tc>
                      <w:tcPr>
                        <w:tcBorders>
                          <w:top w:val="none" w:color="000000" w:sz="0"/>
                          <w:left w:val="none" w:color="000000" w:sz="0"/>
                          <w:bottom w:val="none" w:color="000000" w:sz="0"/>
                          <w:right w:val="none" w:color="000000" w:sz="0"/>
                        </w:tcBorders>
                        <w:tcMar/>
                        <w:vAlign w:val="top"/>
                      </w:tcPr>
                      <w:p>
                        <w:r>
                          <w:t xml:space="preserve">Private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R3.1 </w:t>
                        </w:r>
                      </w:p>
                    </w:tc>
                    <w:tc>
                      <w:tcPr>
                        <w:tcBorders>
                          <w:top w:val="none" w:color="000000" w:sz="0"/>
                          <w:left w:val="none" w:color="000000" w:sz="0"/>
                          <w:bottom w:val="none" w:color="000000" w:sz="0"/>
                          <w:right w:val="none" w:color="000000" w:sz="0"/>
                        </w:tcBorders>
                        <w:tcMar/>
                        <w:vAlign w:val="top"/>
                      </w:tcPr>
                      <w:p>
                        <w:r>
                          <w:t xml:space="preserve">Private charitable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R3.2 </w:t>
                        </w:r>
                      </w:p>
                    </w:tc>
                    <w:tc>
                      <w:tcPr>
                        <w:tcBorders>
                          <w:top w:val="none" w:color="000000" w:sz="0"/>
                          <w:left w:val="none" w:color="000000" w:sz="0"/>
                          <w:bottom w:val="none" w:color="000000" w:sz="0"/>
                          <w:right w:val="none" w:color="000000" w:sz="0"/>
                        </w:tcBorders>
                        <w:tcMar/>
                        <w:vAlign w:val="top"/>
                      </w:tcPr>
                      <w:p>
                        <w:r>
                          <w:t xml:space="preserve">Private profit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R3.3 </w:t>
                        </w:r>
                      </w:p>
                    </w:tc>
                    <w:tc>
                      <w:tcPr>
                        <w:tcBorders>
                          <w:top w:val="none" w:color="000000" w:sz="0"/>
                          <w:left w:val="none" w:color="000000" w:sz="0"/>
                          <w:bottom w:val="none" w:color="000000" w:sz="0"/>
                          <w:right w:val="none" w:color="000000" w:sz="0"/>
                        </w:tcBorders>
                        <w:tcMar/>
                        <w:vAlign w:val="top"/>
                      </w:tcPr>
                      <w:p>
                        <w:r>
                          <w:t xml:space="preserve">Government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R3.4 </w:t>
                        </w:r>
                      </w:p>
                    </w:tc>
                    <w:tc>
                      <w:tcPr>
                        <w:tcBorders>
                          <w:top w:val="none" w:color="000000" w:sz="0"/>
                          <w:left w:val="none" w:color="000000" w:sz="0"/>
                          <w:bottom w:val="none" w:color="000000" w:sz="0"/>
                          <w:right w:val="none" w:color="000000" w:sz="0"/>
                        </w:tcBorders>
                        <w:tcMar/>
                        <w:vAlign w:val="top"/>
                      </w:tcPr>
                      <w:p>
                        <w:r>
                          <w:t xml:space="preserve">Private charitable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R3.5 </w:t>
                        </w:r>
                      </w:p>
                    </w:tc>
                    <w:tc>
                      <w:tcPr>
                        <w:tcBorders>
                          <w:top w:val="none" w:color="000000" w:sz="0"/>
                          <w:left w:val="none" w:color="000000" w:sz="0"/>
                          <w:bottom w:val="none" w:color="000000" w:sz="0"/>
                          <w:right w:val="none" w:color="000000" w:sz="0"/>
                        </w:tcBorders>
                        <w:tcMar/>
                        <w:vAlign w:val="top"/>
                      </w:tcPr>
                      <w:p>
                        <w:r>
                          <w:t xml:space="preserve">Private profit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R3.6 </w:t>
                        </w:r>
                      </w:p>
                    </w:tc>
                    <w:tc>
                      <w:tcPr>
                        <w:tcBorders>
                          <w:top w:val="none" w:color="000000" w:sz="0"/>
                          <w:left w:val="none" w:color="000000" w:sz="0"/>
                          <w:bottom w:val="none" w:color="000000" w:sz="0"/>
                          <w:right w:val="none" w:color="000000" w:sz="0"/>
                        </w:tcBorders>
                        <w:tcMar/>
                        <w:vAlign w:val="top"/>
                      </w:tcPr>
                      <w:p>
                        <w:r>
                          <w:t xml:space="preserve">Government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R5.2 </w:t>
                        </w:r>
                      </w:p>
                    </w:tc>
                    <w:tc>
                      <w:tcPr>
                        <w:tcBorders>
                          <w:top w:val="none" w:color="000000" w:sz="0"/>
                          <w:left w:val="none" w:color="000000" w:sz="0"/>
                          <w:bottom w:val="none" w:color="000000" w:sz="0"/>
                          <w:right w:val="none" w:color="000000" w:sz="0"/>
                        </w:tcBorders>
                        <w:tcMar/>
                        <w:vAlign w:val="top"/>
                      </w:tcPr>
                      <w:p>
                        <w:r>
                          <w:t xml:space="preserve">State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R4.1 </w:t>
                        </w:r>
                      </w:p>
                    </w:tc>
                    <w:tc>
                      <w:tcPr>
                        <w:tcBorders>
                          <w:top w:val="none" w:color="000000" w:sz="0"/>
                          <w:left w:val="none" w:color="000000" w:sz="0"/>
                          <w:bottom w:val="none" w:color="000000" w:sz="0"/>
                          <w:right w:val="none" w:color="000000" w:sz="0"/>
                        </w:tcBorders>
                        <w:tcMar/>
                        <w:vAlign w:val="top"/>
                      </w:tcPr>
                      <w:p>
                        <w:r>
                          <w:t xml:space="preserve">Public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R4.2 </w:t>
                        </w:r>
                      </w:p>
                    </w:tc>
                    <w:tc>
                      <w:tcPr>
                        <w:tcBorders>
                          <w:top w:val="none" w:color="000000" w:sz="0"/>
                          <w:left w:val="none" w:color="000000" w:sz="0"/>
                          <w:bottom w:val="none" w:color="000000" w:sz="0"/>
                          <w:right w:val="none" w:color="000000" w:sz="0"/>
                        </w:tcBorders>
                        <w:tcMar/>
                        <w:vAlign w:val="top"/>
                      </w:tcPr>
                      <w:p>
                        <w:r>
                          <w:t xml:space="preserve">Private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R5.1 </w:t>
                        </w:r>
                      </w:p>
                    </w:tc>
                    <w:tc>
                      <w:tcPr>
                        <w:tcBorders>
                          <w:top w:val="none" w:color="000000" w:sz="0"/>
                          <w:left w:val="none" w:color="000000" w:sz="0"/>
                          <w:bottom w:val="none" w:color="000000" w:sz="0"/>
                          <w:right w:val="none" w:color="000000" w:sz="0"/>
                        </w:tcBorders>
                        <w:tcMar/>
                        <w:vAlign w:val="top"/>
                      </w:tcPr>
                      <w:p>
                        <w:r>
                          <w:t xml:space="preserve">Charitable hostels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R5.3 </w:t>
                        </w:r>
                      </w:p>
                    </w:tc>
                    <w:tc>
                      <w:tcPr>
                        <w:tcBorders>
                          <w:top w:val="none" w:color="000000" w:sz="0"/>
                          <w:left w:val="none" w:color="000000" w:sz="0"/>
                          <w:bottom w:val="none" w:color="000000" w:sz="0"/>
                          <w:right w:val="none" w:color="000000" w:sz="0"/>
                        </w:tcBorders>
                        <w:tcMar/>
                        <w:vAlign w:val="top"/>
                      </w:tcPr>
                      <w:p>
                        <w:r>
                          <w:t xml:space="preserve">Local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R5.4 </w:t>
                        </w:r>
                      </w:p>
                    </w:tc>
                    <w:tc>
                      <w:tcPr>
                        <w:tcBorders>
                          <w:top w:val="none" w:color="000000" w:sz="0"/>
                          <w:left w:val="none" w:color="000000" w:sz="0"/>
                          <w:bottom w:val="none" w:color="000000" w:sz="0"/>
                          <w:right w:val="none" w:color="000000" w:sz="0"/>
                        </w:tcBorders>
                        <w:tcMar/>
                        <w:vAlign w:val="top"/>
                      </w:tcPr>
                      <w:p>
                        <w:r>
                          <w:t xml:space="preserve">Other charitable hostel</w:t>
                        </w:r>
                      </w:p>
                    </w:tc>
                  </w:tr>
                  <w:tr>
                    <w:trPr/>
                    <w:tc>
                      <w:tcPr>
                        <w:tcW w:w="1000" w:type="pct"/>
                        <w:tcBorders>
                          <w:top w:val="none" w:color="000000" w:sz="0"/>
                          <w:left w:val="none" w:color="000000" w:sz="0"/>
                          <w:bottom w:val="none" w:color="000000" w:sz="0"/>
                          <w:right w:val="none" w:color="000000" w:sz="0"/>
                        </w:tcBorders>
                        <w:tcMar/>
                        <w:vAlign w:val="top"/>
                      </w:tcPr>
                      <w:p>
                        <w:r>
                          <w:t xml:space="preserve">R5.5 </w:t>
                        </w:r>
                      </w:p>
                    </w:tc>
                    <w:tc>
                      <w:tcPr>
                        <w:tcBorders>
                          <w:top w:val="none" w:color="000000" w:sz="0"/>
                          <w:left w:val="none" w:color="000000" w:sz="0"/>
                          <w:bottom w:val="none" w:color="000000" w:sz="0"/>
                          <w:right w:val="none" w:color="000000" w:sz="0"/>
                        </w:tcBorders>
                        <w:tcMar/>
                        <w:vAlign w:val="top"/>
                      </w:tcPr>
                      <w:p>
                        <w:r>
                          <w:t xml:space="preserve">Other State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R5.6 </w:t>
                        </w:r>
                      </w:p>
                    </w:tc>
                    <w:tc>
                      <w:tcPr>
                        <w:tcBorders>
                          <w:top w:val="none" w:color="000000" w:sz="0"/>
                          <w:left w:val="none" w:color="000000" w:sz="0"/>
                          <w:bottom w:val="none" w:color="000000" w:sz="0"/>
                          <w:right w:val="none" w:color="000000" w:sz="0"/>
                        </w:tcBorders>
                        <w:tcMar/>
                        <w:vAlign w:val="top"/>
                      </w:tcPr>
                      <w:p>
                        <w:r>
                          <w:t xml:space="preserve">Other Local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R6.1 </w:t>
                        </w:r>
                      </w:p>
                    </w:tc>
                    <w:tc>
                      <w:tcPr>
                        <w:tcBorders>
                          <w:top w:val="none" w:color="000000" w:sz="0"/>
                          <w:left w:val="none" w:color="000000" w:sz="0"/>
                          <w:bottom w:val="none" w:color="000000" w:sz="0"/>
                          <w:right w:val="none" w:color="000000" w:sz="0"/>
                        </w:tcBorders>
                        <w:tcMar/>
                        <w:vAlign w:val="top"/>
                      </w:tcPr>
                      <w:p>
                        <w:r>
                          <w:t xml:space="preserve">Public hospice</w:t>
                        </w:r>
                      </w:p>
                    </w:tc>
                  </w:tr>
                  <w:tr>
                    <w:trPr/>
                    <w:tc>
                      <w:tcPr>
                        <w:tcW w:w="1000" w:type="pct"/>
                        <w:tcBorders>
                          <w:top w:val="none" w:color="000000" w:sz="0"/>
                          <w:left w:val="none" w:color="000000" w:sz="0"/>
                          <w:bottom w:val="none" w:color="000000" w:sz="0"/>
                          <w:right w:val="none" w:color="000000" w:sz="0"/>
                        </w:tcBorders>
                        <w:tcMar/>
                        <w:vAlign w:val="top"/>
                      </w:tcPr>
                      <w:p>
                        <w:r>
                          <w:t xml:space="preserve">R6.2 </w:t>
                        </w:r>
                      </w:p>
                    </w:tc>
                    <w:tc>
                      <w:tcPr>
                        <w:tcBorders>
                          <w:top w:val="none" w:color="000000" w:sz="0"/>
                          <w:left w:val="none" w:color="000000" w:sz="0"/>
                          <w:bottom w:val="none" w:color="000000" w:sz="0"/>
                          <w:right w:val="none" w:color="000000" w:sz="0"/>
                        </w:tcBorders>
                        <w:tcMar/>
                        <w:vAlign w:val="top"/>
                      </w:tcPr>
                      <w:p>
                        <w:r>
                          <w:t xml:space="preserve">Private hospice</w:t>
                        </w:r>
                      </w:p>
                    </w:tc>
                  </w:tr>
                  <w:tr>
                    <w:trPr/>
                    <w:tc>
                      <w:tcPr>
                        <w:tcW w:w="1000" w:type="pct"/>
                        <w:tcBorders>
                          <w:top w:val="none" w:color="000000" w:sz="0"/>
                          <w:left w:val="none" w:color="000000" w:sz="0"/>
                          <w:bottom w:val="none" w:color="000000" w:sz="0"/>
                          <w:right w:val="none" w:color="000000" w:sz="0"/>
                        </w:tcBorders>
                        <w:tcMar/>
                        <w:vAlign w:val="top"/>
                      </w:tcPr>
                      <w:p>
                        <w:r>
                          <w:t xml:space="preserve">N7.1 </w:t>
                        </w:r>
                      </w:p>
                    </w:tc>
                    <w:tc>
                      <w:tcPr>
                        <w:tcBorders>
                          <w:top w:val="none" w:color="000000" w:sz="0"/>
                          <w:left w:val="none" w:color="000000" w:sz="0"/>
                          <w:bottom w:val="none" w:color="000000" w:sz="0"/>
                          <w:right w:val="none" w:color="000000" w:sz="0"/>
                        </w:tcBorders>
                        <w:tcMar/>
                        <w:vAlign w:val="top"/>
                      </w:tcPr>
                      <w:p>
                        <w:r>
                          <w:t xml:space="preserve">Public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N7.2 </w:t>
                        </w:r>
                      </w:p>
                    </w:tc>
                    <w:tc>
                      <w:tcPr>
                        <w:tcBorders>
                          <w:top w:val="none" w:color="000000" w:sz="0"/>
                          <w:left w:val="none" w:color="000000" w:sz="0"/>
                          <w:bottom w:val="none" w:color="000000" w:sz="0"/>
                          <w:right w:val="none" w:color="000000" w:sz="0"/>
                        </w:tcBorders>
                        <w:tcMar/>
                        <w:vAlign w:val="top"/>
                      </w:tcPr>
                      <w:p>
                        <w:r>
                          <w:t xml:space="preserve">Public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N7.3 </w:t>
                        </w:r>
                      </w:p>
                    </w:tc>
                    <w:tc>
                      <w:tcPr>
                        <w:tcBorders>
                          <w:top w:val="none" w:color="000000" w:sz="0"/>
                          <w:left w:val="none" w:color="000000" w:sz="0"/>
                          <w:bottom w:val="none" w:color="000000" w:sz="0"/>
                          <w:right w:val="none" w:color="000000" w:sz="0"/>
                        </w:tcBorders>
                        <w:tcMar/>
                        <w:vAlign w:val="top"/>
                      </w:tcPr>
                      <w:p>
                        <w:r>
                          <w:t xml:space="preserve">Private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N7.4 </w:t>
                        </w:r>
                      </w:p>
                    </w:tc>
                    <w:tc>
                      <w:tcPr>
                        <w:tcBorders>
                          <w:top w:val="none" w:color="000000" w:sz="0"/>
                          <w:left w:val="none" w:color="000000" w:sz="0"/>
                          <w:bottom w:val="none" w:color="000000" w:sz="0"/>
                          <w:right w:val="none" w:color="000000" w:sz="0"/>
                        </w:tcBorders>
                        <w:tcMar/>
                        <w:vAlign w:val="top"/>
                      </w:tcPr>
                      <w:p>
                        <w:r>
                          <w:t xml:space="preserve">Private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N8.1.1 </w:t>
                        </w:r>
                      </w:p>
                    </w:tc>
                    <w:tc>
                      <w:tcPr>
                        <w:tcBorders>
                          <w:top w:val="none" w:color="000000" w:sz="0"/>
                          <w:left w:val="none" w:color="000000" w:sz="0"/>
                          <w:bottom w:val="none" w:color="000000" w:sz="0"/>
                          <w:right w:val="none" w:color="000000" w:sz="0"/>
                        </w:tcBorders>
                        <w:tcMar/>
                        <w:vAlign w:val="top"/>
                      </w:tcPr>
                      <w:p>
                        <w:r>
                          <w:t xml:space="preserve">Public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N8.1.2 </w:t>
                        </w:r>
                      </w:p>
                    </w:tc>
                    <w:tc>
                      <w:tcPr>
                        <w:tcBorders>
                          <w:top w:val="none" w:color="000000" w:sz="0"/>
                          <w:left w:val="none" w:color="000000" w:sz="0"/>
                          <w:bottom w:val="none" w:color="000000" w:sz="0"/>
                          <w:right w:val="none" w:color="000000" w:sz="0"/>
                        </w:tcBorders>
                        <w:tcMar/>
                        <w:vAlign w:val="top"/>
                      </w:tcPr>
                      <w:p>
                        <w:r>
                          <w:t xml:space="preserve">Private (non-profit)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N8.2.1 </w:t>
                        </w:r>
                      </w:p>
                    </w:tc>
                    <w:tc>
                      <w:tcPr>
                        <w:tcBorders>
                          <w:top w:val="none" w:color="000000" w:sz="0"/>
                          <w:left w:val="none" w:color="000000" w:sz="0"/>
                          <w:bottom w:val="none" w:color="000000" w:sz="0"/>
                          <w:right w:val="none" w:color="000000" w:sz="0"/>
                        </w:tcBorders>
                        <w:tcMar/>
                        <w:vAlign w:val="top"/>
                      </w:tcPr>
                      <w:p>
                        <w:r>
                          <w:t xml:space="preserve">Public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N8.2.2 </w:t>
                        </w:r>
                      </w:p>
                    </w:tc>
                    <w:tc>
                      <w:tcPr>
                        <w:tcBorders>
                          <w:top w:val="none" w:color="000000" w:sz="0"/>
                          <w:left w:val="none" w:color="000000" w:sz="0"/>
                          <w:bottom w:val="none" w:color="000000" w:sz="0"/>
                          <w:right w:val="none" w:color="000000" w:sz="0"/>
                        </w:tcBorders>
                        <w:tcMar/>
                        <w:vAlign w:val="top"/>
                      </w:tcPr>
                      <w:p>
                        <w:r>
                          <w:t xml:space="preserve">Private (non-profit)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N8.2.3 </w:t>
                        </w:r>
                      </w:p>
                    </w:tc>
                    <w:tc>
                      <w:tcPr>
                        <w:tcBorders>
                          <w:top w:val="none" w:color="000000" w:sz="0"/>
                          <w:left w:val="none" w:color="000000" w:sz="0"/>
                          <w:bottom w:val="none" w:color="000000" w:sz="0"/>
                          <w:right w:val="none" w:color="000000" w:sz="0"/>
                        </w:tcBorders>
                        <w:tcMar/>
                        <w:vAlign w:val="top"/>
                      </w:tcPr>
                      <w:p>
                        <w:r>
                          <w:t xml:space="preserve">Private (profit) domiciliary nursing service</w:t>
                        </w:r>
                      </w:p>
                    </w:tc>
                  </w:tr>
                </w:tbl>
                <w:p/>
              </w:tc>
            </w:tr>
            <w:tr>
              <w:trPr/>
              <w:tc>
                <w:tcPr>
                  <w:tcMar>
                    <w:right w:w="29" w:type="dxa"/>
                  </w:tcMar>
                  <w:vAlign w:val="top"/>
                </w:tcPr>
                <w:p>
                  <w:pPr>
                    <w:keepNext/>
                    <w:jc w:val="center"/>
                  </w:pPr>
                  <w:r>
                    <w:t xml:space="preserve">-</w:t>
                  </w:r>
                </w:p>
              </w:tc>
              <w:tc>
                <w:tcPr>
                  <w:tcMar/>
                  <w:vAlign w:val="top"/>
                </w:tcPr>
                <w:p>
                  <w:hyperlink w:history="true" r:id="R137c2bc6e6ec4012">
                    <w:r>
                      <w:rPr>
                        <w:rStyle w:val="Hyperlink"/>
                      </w:rPr>
                      <w:t xml:space="preserve">Full-time equivalent staff—administrative and clerical staff</w:t>
                    </w:r>
                  </w:hyperlink>
                </w:p>
              </w:tc>
              <w:tc>
                <w:tcPr>
                  <w:vAlign w:val="top"/>
                </w:tcPr>
                <w:p>
                  <w:r>
                    <w:t xml:space="preserve">270496</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a641000b803745a3">
                    <w:r>
                      <w:rPr>
                        <w:rStyle w:val="Hyperlink"/>
                      </w:rPr>
                      <w:t xml:space="preserve">Full-time equivalent staff—diagnostic and health professionals</w:t>
                    </w:r>
                  </w:hyperlink>
                </w:p>
              </w:tc>
              <w:tc>
                <w:tcPr>
                  <w:vAlign w:val="top"/>
                </w:tcPr>
                <w:p>
                  <w:r>
                    <w:t xml:space="preserve">270495</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63b575303b924045">
                    <w:r>
                      <w:rPr>
                        <w:rStyle w:val="Hyperlink"/>
                      </w:rPr>
                      <w:t xml:space="preserve">Full-time equivalent staff—domestic and other staff</w:t>
                    </w:r>
                  </w:hyperlink>
                </w:p>
              </w:tc>
              <w:tc>
                <w:tcPr>
                  <w:vAlign w:val="top"/>
                </w:tcPr>
                <w:p>
                  <w:r>
                    <w:t xml:space="preserve">270498</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a08722a0ada5439e">
                    <w:r>
                      <w:rPr>
                        <w:rStyle w:val="Hyperlink"/>
                      </w:rPr>
                      <w:t xml:space="preserve">Full-time equivalent staff—enrolled nurses</w:t>
                    </w:r>
                  </w:hyperlink>
                </w:p>
              </w:tc>
              <w:tc>
                <w:tcPr>
                  <w:vAlign w:val="top"/>
                </w:tcPr>
                <w:p>
                  <w:r>
                    <w:t xml:space="preserve">270497</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4b4affbf3d54f6c">
                    <w:r>
                      <w:rPr>
                        <w:rStyle w:val="Hyperlink"/>
                      </w:rPr>
                      <w:t xml:space="preserve">Full-time equivalent staff—other personal care staff</w:t>
                    </w:r>
                  </w:hyperlink>
                </w:p>
              </w:tc>
              <w:tc>
                <w:tcPr>
                  <w:vAlign w:val="top"/>
                </w:tcPr>
                <w:p>
                  <w:r>
                    <w:t xml:space="preserve">270171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3ab565f56070462b">
                    <w:r>
                      <w:rPr>
                        <w:rStyle w:val="Hyperlink"/>
                      </w:rPr>
                      <w:t xml:space="preserve">Full-time equivalent staff—registered nurses</w:t>
                    </w:r>
                  </w:hyperlink>
                </w:p>
              </w:tc>
              <w:tc>
                <w:tcPr>
                  <w:vAlign w:val="top"/>
                </w:tcPr>
                <w:p>
                  <w:r>
                    <w:t xml:space="preserve">270500</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630c668ff8894e87">
                    <w:r>
                      <w:rPr>
                        <w:rStyle w:val="Hyperlink"/>
                      </w:rPr>
                      <w:t xml:space="preserve">Full-time equivalent staff—salaried medical officers</w:t>
                    </w:r>
                  </w:hyperlink>
                </w:p>
              </w:tc>
              <w:tc>
                <w:tcPr>
                  <w:vAlign w:val="top"/>
                </w:tcPr>
                <w:p>
                  <w:r>
                    <w:t xml:space="preserve">270494</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7731eebf85ab4b0b">
                    <w:r>
                      <w:rPr>
                        <w:rStyle w:val="Hyperlink"/>
                      </w:rPr>
                      <w:t xml:space="preserve">Full-time equivalent staff—student nurses</w:t>
                    </w:r>
                  </w:hyperlink>
                </w:p>
              </w:tc>
              <w:tc>
                <w:tcPr>
                  <w:vAlign w:val="top"/>
                </w:tcPr>
                <w:p>
                  <w:r>
                    <w:t xml:space="preserve">270499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d46d2b4c2394445">
                    <w:r>
                      <w:rPr>
                        <w:rStyle w:val="Hyperlink"/>
                      </w:rPr>
                      <w:t xml:space="preserve">Full-time equivalent staff—trainee/pupil nurses</w:t>
                    </w:r>
                  </w:hyperlink>
                </w:p>
              </w:tc>
              <w:tc>
                <w:tcPr>
                  <w:vAlign w:val="top"/>
                </w:tcPr>
                <w:p>
                  <w:r>
                    <w:t xml:space="preserve">270493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a66570327e934460">
                    <w:r>
                      <w:rPr>
                        <w:rStyle w:val="Hyperlink"/>
                      </w:rPr>
                      <w:t xml:space="preserve">Geographical location of establishment</w:t>
                    </w:r>
                  </w:hyperlink>
                </w:p>
              </w:tc>
              <w:tc>
                <w:tcPr>
                  <w:vAlign w:val="top"/>
                </w:tcPr>
                <w:p>
                  <w:r>
                    <w:t xml:space="preserve">455521</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cc3a5560aff04164">
                    <w:r>
                      <w:rPr>
                        <w:rStyle w:val="Hyperlink"/>
                      </w:rPr>
                      <w:t xml:space="preserve">Gross capital expenditure (accrual accounting)—buildings and building services</w:t>
                    </w:r>
                  </w:hyperlink>
                </w:p>
              </w:tc>
              <w:tc>
                <w:tcPr>
                  <w:vAlign w:val="top"/>
                </w:tcPr>
                <w:p>
                  <w:r>
                    <w:t xml:space="preserve">270521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a8668d4f51d4fc1">
                    <w:r>
                      <w:rPr>
                        <w:rStyle w:val="Hyperlink"/>
                      </w:rPr>
                      <w:t xml:space="preserve">Gross capital expenditure (accrual accounting)—constructions</w:t>
                    </w:r>
                  </w:hyperlink>
                </w:p>
              </w:tc>
              <w:tc>
                <w:tcPr>
                  <w:vAlign w:val="top"/>
                </w:tcPr>
                <w:p>
                  <w:r>
                    <w:t xml:space="preserve">270526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8d04d2199a34b96">
                    <w:r>
                      <w:rPr>
                        <w:rStyle w:val="Hyperlink"/>
                      </w:rPr>
                      <w:t xml:space="preserve">Gross capital expenditure (accrual accounting)—equipment</w:t>
                    </w:r>
                  </w:hyperlink>
                </w:p>
              </w:tc>
              <w:tc>
                <w:tcPr>
                  <w:vAlign w:val="top"/>
                </w:tcPr>
                <w:p>
                  <w:r>
                    <w:t xml:space="preserve">270525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277fcde7ac4475a">
                    <w:r>
                      <w:rPr>
                        <w:rStyle w:val="Hyperlink"/>
                      </w:rPr>
                      <w:t xml:space="preserve">Gross capital expenditure (accrual accounting)—information technology</w:t>
                    </w:r>
                  </w:hyperlink>
                </w:p>
              </w:tc>
              <w:tc>
                <w:tcPr>
                  <w:vAlign w:val="top"/>
                </w:tcPr>
                <w:p>
                  <w:r>
                    <w:t xml:space="preserve">270527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6a17094e3fa4f9c">
                    <w:r>
                      <w:rPr>
                        <w:rStyle w:val="Hyperlink"/>
                      </w:rPr>
                      <w:t xml:space="preserve">Gross capital expenditure (accrual accounting)—intangible assets</w:t>
                    </w:r>
                  </w:hyperlink>
                </w:p>
              </w:tc>
              <w:tc>
                <w:tcPr>
                  <w:vAlign w:val="top"/>
                </w:tcPr>
                <w:p>
                  <w:r>
                    <w:t xml:space="preserve">270522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06d5d4efd114b94">
                    <w:r>
                      <w:rPr>
                        <w:rStyle w:val="Hyperlink"/>
                      </w:rPr>
                      <w:t xml:space="preserve">Gross capital expenditure (accrual accounting)—land</w:t>
                    </w:r>
                  </w:hyperlink>
                </w:p>
              </w:tc>
              <w:tc>
                <w:tcPr>
                  <w:vAlign w:val="top"/>
                </w:tcPr>
                <w:p>
                  <w:r>
                    <w:t xml:space="preserve">270528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cabbead1f7241fa">
                    <w:r>
                      <w:rPr>
                        <w:rStyle w:val="Hyperlink"/>
                      </w:rPr>
                      <w:t xml:space="preserve">Gross capital expenditure (accrual accounting)—major medical equipment</w:t>
                    </w:r>
                  </w:hyperlink>
                </w:p>
              </w:tc>
              <w:tc>
                <w:tcPr>
                  <w:vAlign w:val="top"/>
                </w:tcPr>
                <w:p>
                  <w:r>
                    <w:t xml:space="preserve">269968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9e318b7154546d9">
                    <w:r>
                      <w:rPr>
                        <w:rStyle w:val="Hyperlink"/>
                      </w:rPr>
                      <w:t xml:space="preserve">Gross capital expenditure (accrual accounting)—other equipment</w:t>
                    </w:r>
                  </w:hyperlink>
                </w:p>
              </w:tc>
              <w:tc>
                <w:tcPr>
                  <w:vAlign w:val="top"/>
                </w:tcPr>
                <w:p>
                  <w:r>
                    <w:t xml:space="preserve">270523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8c727097f9740a7">
                    <w:r>
                      <w:rPr>
                        <w:rStyle w:val="Hyperlink"/>
                      </w:rPr>
                      <w:t xml:space="preserve">Gross capital expenditure (accrual accounting)—transport</w:t>
                    </w:r>
                  </w:hyperlink>
                </w:p>
              </w:tc>
              <w:tc>
                <w:tcPr>
                  <w:vAlign w:val="top"/>
                </w:tcPr>
                <w:p>
                  <w:r>
                    <w:t xml:space="preserve">270524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a0075e1066147a2">
                    <w:r>
                      <w:rPr>
                        <w:rStyle w:val="Hyperlink"/>
                      </w:rPr>
                      <w:t xml:space="preserve">Gross capital expenditure—computer equipment/installations</w:t>
                    </w:r>
                  </w:hyperlink>
                </w:p>
              </w:tc>
              <w:tc>
                <w:tcPr>
                  <w:vAlign w:val="top"/>
                </w:tcPr>
                <w:p>
                  <w:r>
                    <w:t xml:space="preserve">270520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74da845a4cd45e8">
                    <w:r>
                      <w:rPr>
                        <w:rStyle w:val="Hyperlink"/>
                      </w:rPr>
                      <w:t xml:space="preserve">Gross capital expenditure—intangible assets</w:t>
                    </w:r>
                  </w:hyperlink>
                </w:p>
              </w:tc>
              <w:tc>
                <w:tcPr>
                  <w:vAlign w:val="top"/>
                </w:tcPr>
                <w:p>
                  <w:r>
                    <w:t xml:space="preserve">270517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3446549daed464a">
                    <w:r>
                      <w:rPr>
                        <w:rStyle w:val="Hyperlink"/>
                      </w:rPr>
                      <w:t xml:space="preserve">Gross capital expenditure—land and buildings</w:t>
                    </w:r>
                  </w:hyperlink>
                </w:p>
              </w:tc>
              <w:tc>
                <w:tcPr>
                  <w:vAlign w:val="top"/>
                </w:tcPr>
                <w:p>
                  <w:r>
                    <w:t xml:space="preserve">270519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f48738b814f4eef">
                    <w:r>
                      <w:rPr>
                        <w:rStyle w:val="Hyperlink"/>
                      </w:rPr>
                      <w:t xml:space="preserve">Gross capital expenditure—major medical equipment</w:t>
                    </w:r>
                  </w:hyperlink>
                </w:p>
              </w:tc>
              <w:tc>
                <w:tcPr>
                  <w:vAlign w:val="top"/>
                </w:tcPr>
                <w:p>
                  <w:r>
                    <w:t xml:space="preserve">269966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2600b2d6ec746b4">
                    <w:r>
                      <w:rPr>
                        <w:rStyle w:val="Hyperlink"/>
                      </w:rPr>
                      <w:t xml:space="preserve">Gross capital expenditure—other</w:t>
                    </w:r>
                  </w:hyperlink>
                </w:p>
              </w:tc>
              <w:tc>
                <w:tcPr>
                  <w:vAlign w:val="top"/>
                </w:tcPr>
                <w:p>
                  <w:r>
                    <w:t xml:space="preserve">270516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14d12614c1c4ac8">
                    <w:r>
                      <w:rPr>
                        <w:rStyle w:val="Hyperlink"/>
                      </w:rPr>
                      <w:t xml:space="preserve">Gross capital expenditure—plant and other equipment</w:t>
                    </w:r>
                  </w:hyperlink>
                </w:p>
              </w:tc>
              <w:tc>
                <w:tcPr>
                  <w:vAlign w:val="top"/>
                </w:tcPr>
                <w:p>
                  <w:r>
                    <w:t xml:space="preserve">270518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d92ecec6c0e47bd">
                    <w:r>
                      <w:rPr>
                        <w:rStyle w:val="Hyperlink"/>
                      </w:rPr>
                      <w:t xml:space="preserve">Net capital expenditure (accrual accounting)—buildings and building services</w:t>
                    </w:r>
                  </w:hyperlink>
                </w:p>
              </w:tc>
              <w:tc>
                <w:tcPr>
                  <w:vAlign w:val="top"/>
                </w:tcPr>
                <w:p>
                  <w:r>
                    <w:t xml:space="preserve">269969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806a7e65483458e">
                    <w:r>
                      <w:rPr>
                        <w:rStyle w:val="Hyperlink"/>
                      </w:rPr>
                      <w:t xml:space="preserve">Net capital expenditure (accrual accounting)—constructions</w:t>
                    </w:r>
                  </w:hyperlink>
                </w:p>
              </w:tc>
              <w:tc>
                <w:tcPr>
                  <w:vAlign w:val="top"/>
                </w:tcPr>
                <w:p>
                  <w:r>
                    <w:t xml:space="preserve">270531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6cad35e952a4022">
                    <w:r>
                      <w:rPr>
                        <w:rStyle w:val="Hyperlink"/>
                      </w:rPr>
                      <w:t xml:space="preserve">Net capital expenditure (accrual accounting)—equipment</w:t>
                    </w:r>
                  </w:hyperlink>
                </w:p>
              </w:tc>
              <w:tc>
                <w:tcPr>
                  <w:vAlign w:val="top"/>
                </w:tcPr>
                <w:p>
                  <w:r>
                    <w:t xml:space="preserve">270534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540a378a2544985">
                    <w:r>
                      <w:rPr>
                        <w:rStyle w:val="Hyperlink"/>
                      </w:rPr>
                      <w:t xml:space="preserve">Net capital expenditure (accrual accounting)—information technology</w:t>
                    </w:r>
                  </w:hyperlink>
                </w:p>
              </w:tc>
              <w:tc>
                <w:tcPr>
                  <w:vAlign w:val="top"/>
                </w:tcPr>
                <w:p>
                  <w:r>
                    <w:t xml:space="preserve">270529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31bb3d1c7b34073">
                    <w:r>
                      <w:rPr>
                        <w:rStyle w:val="Hyperlink"/>
                      </w:rPr>
                      <w:t xml:space="preserve">Net capital expenditure (accrual accounting)—intangible assets</w:t>
                    </w:r>
                  </w:hyperlink>
                </w:p>
              </w:tc>
              <w:tc>
                <w:tcPr>
                  <w:vAlign w:val="top"/>
                </w:tcPr>
                <w:p>
                  <w:r>
                    <w:t xml:space="preserve">270535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fdd8cfee7454a59">
                    <w:r>
                      <w:rPr>
                        <w:rStyle w:val="Hyperlink"/>
                      </w:rPr>
                      <w:t xml:space="preserve">Net capital expenditure (accrual accounting)—land</w:t>
                    </w:r>
                  </w:hyperlink>
                </w:p>
              </w:tc>
              <w:tc>
                <w:tcPr>
                  <w:vAlign w:val="top"/>
                </w:tcPr>
                <w:p>
                  <w:r>
                    <w:t xml:space="preserve">270536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180869d6fcd461a">
                    <w:r>
                      <w:rPr>
                        <w:rStyle w:val="Hyperlink"/>
                      </w:rPr>
                      <w:t xml:space="preserve">Net capital expenditure (accrual accounting)—major medical equipment</w:t>
                    </w:r>
                  </w:hyperlink>
                </w:p>
              </w:tc>
              <w:tc>
                <w:tcPr>
                  <w:vAlign w:val="top"/>
                </w:tcPr>
                <w:p>
                  <w:r>
                    <w:t xml:space="preserve">270530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99a869bbd844c18">
                    <w:r>
                      <w:rPr>
                        <w:rStyle w:val="Hyperlink"/>
                      </w:rPr>
                      <w:t xml:space="preserve">Net capital expenditure (accrual accounting)—other equipment</w:t>
                    </w:r>
                  </w:hyperlink>
                </w:p>
              </w:tc>
              <w:tc>
                <w:tcPr>
                  <w:vAlign w:val="top"/>
                </w:tcPr>
                <w:p>
                  <w:r>
                    <w:t xml:space="preserve">270533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755a556dd2e4e4c">
                    <w:r>
                      <w:rPr>
                        <w:rStyle w:val="Hyperlink"/>
                      </w:rPr>
                      <w:t xml:space="preserve">Net capital expenditure (accrual accounting)—transport</w:t>
                    </w:r>
                  </w:hyperlink>
                </w:p>
              </w:tc>
              <w:tc>
                <w:tcPr>
                  <w:vAlign w:val="top"/>
                </w:tcPr>
                <w:p>
                  <w:r>
                    <w:t xml:space="preserve">270532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ca79e10f39d4a02">
                    <w:r>
                      <w:rPr>
                        <w:rStyle w:val="Hyperlink"/>
                      </w:rPr>
                      <w:t xml:space="preserve">Group sessions—alcohol and other drug</w:t>
                    </w:r>
                  </w:hyperlink>
                </w:p>
              </w:tc>
              <w:tc>
                <w:tcPr>
                  <w:vAlign w:val="top"/>
                </w:tcPr>
                <w:p>
                  <w:r>
                    <w:t xml:space="preserve">270479</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d9978428ea3b45ea">
                    <w:r>
                      <w:rPr>
                        <w:rStyle w:val="Hyperlink"/>
                      </w:rPr>
                      <w:t xml:space="preserve">Group sessions—allied health services</w:t>
                    </w:r>
                  </w:hyperlink>
                </w:p>
              </w:tc>
              <w:tc>
                <w:tcPr>
                  <w:vAlign w:val="top"/>
                </w:tcPr>
                <w:p>
                  <w:r>
                    <w:t xml:space="preserve">270480</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557b885491334be3">
                    <w:r>
                      <w:rPr>
                        <w:rStyle w:val="Hyperlink"/>
                      </w:rPr>
                      <w:t xml:space="preserve">Group sessions—community health services</w:t>
                    </w:r>
                  </w:hyperlink>
                </w:p>
              </w:tc>
              <w:tc>
                <w:tcPr>
                  <w:vAlign w:val="top"/>
                </w:tcPr>
                <w:p>
                  <w:r>
                    <w:t xml:space="preserve">270491</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1dd26ecd7e494057">
                    <w:r>
                      <w:rPr>
                        <w:rStyle w:val="Hyperlink"/>
                      </w:rPr>
                      <w:t xml:space="preserve">Group sessions—dental</w:t>
                    </w:r>
                  </w:hyperlink>
                </w:p>
              </w:tc>
              <w:tc>
                <w:tcPr>
                  <w:vAlign w:val="top"/>
                </w:tcPr>
                <w:p>
                  <w:r>
                    <w:t xml:space="preserve">270488</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cfec48478aa0437a">
                    <w:r>
                      <w:rPr>
                        <w:rStyle w:val="Hyperlink"/>
                      </w:rPr>
                      <w:t xml:space="preserve">Group sessions—dialysis</w:t>
                    </w:r>
                  </w:hyperlink>
                </w:p>
              </w:tc>
              <w:tc>
                <w:tcPr>
                  <w:vAlign w:val="top"/>
                </w:tcPr>
                <w:p>
                  <w:r>
                    <w:t xml:space="preserve">270368</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5230f6051a6f4821">
                    <w:r>
                      <w:rPr>
                        <w:rStyle w:val="Hyperlink"/>
                      </w:rPr>
                      <w:t xml:space="preserve">Group sessions—district nursing services</w:t>
                    </w:r>
                  </w:hyperlink>
                </w:p>
              </w:tc>
              <w:tc>
                <w:tcPr>
                  <w:vAlign w:val="top"/>
                </w:tcPr>
                <w:p>
                  <w:r>
                    <w:t xml:space="preserve">270482</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0de0c8aafb1441f8">
                    <w:r>
                      <w:rPr>
                        <w:rStyle w:val="Hyperlink"/>
                      </w:rPr>
                      <w:t xml:space="preserve">Group sessions—emergency services</w:t>
                    </w:r>
                  </w:hyperlink>
                </w:p>
              </w:tc>
              <w:tc>
                <w:tcPr>
                  <w:vAlign w:val="top"/>
                </w:tcPr>
                <w:p>
                  <w:r>
                    <w:t xml:space="preserve">270485</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276b9a2fa93b4319">
                    <w:r>
                      <w:rPr>
                        <w:rStyle w:val="Hyperlink"/>
                      </w:rPr>
                      <w:t xml:space="preserve">Group sessions—endoscopy and related procedures</w:t>
                    </w:r>
                  </w:hyperlink>
                </w:p>
              </w:tc>
              <w:tc>
                <w:tcPr>
                  <w:vAlign w:val="top"/>
                </w:tcPr>
                <w:p>
                  <w:r>
                    <w:t xml:space="preserve">270484</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0251fb9c4f224fae">
                    <w:r>
                      <w:rPr>
                        <w:rStyle w:val="Hyperlink"/>
                      </w:rPr>
                      <w:t xml:space="preserve">Group sessions—mental health</w:t>
                    </w:r>
                  </w:hyperlink>
                </w:p>
              </w:tc>
              <w:tc>
                <w:tcPr>
                  <w:vAlign w:val="top"/>
                </w:tcPr>
                <w:p>
                  <w:r>
                    <w:t xml:space="preserve">270490</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75442a2bea574b9c">
                    <w:r>
                      <w:rPr>
                        <w:rStyle w:val="Hyperlink"/>
                      </w:rPr>
                      <w:t xml:space="preserve">Group sessions—other medical/surgical/diagnostic</w:t>
                    </w:r>
                  </w:hyperlink>
                </w:p>
              </w:tc>
              <w:tc>
                <w:tcPr>
                  <w:vAlign w:val="top"/>
                </w:tcPr>
                <w:p>
                  <w:r>
                    <w:t xml:space="preserve">270487</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8e88390c99164399">
                    <w:r>
                      <w:rPr>
                        <w:rStyle w:val="Hyperlink"/>
                      </w:rPr>
                      <w:t xml:space="preserve">Group sessions—other outreach services</w:t>
                    </w:r>
                  </w:hyperlink>
                </w:p>
              </w:tc>
              <w:tc>
                <w:tcPr>
                  <w:vAlign w:val="top"/>
                </w:tcPr>
                <w:p>
                  <w:r>
                    <w:t xml:space="preserve">270489</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1cb8b14097eb4c52">
                    <w:r>
                      <w:rPr>
                        <w:rStyle w:val="Hyperlink"/>
                      </w:rPr>
                      <w:t xml:space="preserve">Group sessions—pathology</w:t>
                    </w:r>
                  </w:hyperlink>
                </w:p>
              </w:tc>
              <w:tc>
                <w:tcPr>
                  <w:vAlign w:val="top"/>
                </w:tcPr>
                <w:p>
                  <w:r>
                    <w:t xml:space="preserve">270481</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281061077e574ece">
                    <w:r>
                      <w:rPr>
                        <w:rStyle w:val="Hyperlink"/>
                      </w:rPr>
                      <w:t xml:space="preserve">Group sessions—pharmacy</w:t>
                    </w:r>
                  </w:hyperlink>
                </w:p>
              </w:tc>
              <w:tc>
                <w:tcPr>
                  <w:vAlign w:val="top"/>
                </w:tcPr>
                <w:p>
                  <w:r>
                    <w:t xml:space="preserve">270486</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0f71c313165a4ea9">
                    <w:r>
                      <w:rPr>
                        <w:rStyle w:val="Hyperlink"/>
                      </w:rPr>
                      <w:t xml:space="preserve">Group sessions—radiology and organ imaging</w:t>
                    </w:r>
                  </w:hyperlink>
                </w:p>
              </w:tc>
              <w:tc>
                <w:tcPr>
                  <w:vAlign w:val="top"/>
                </w:tcPr>
                <w:p>
                  <w:r>
                    <w:t xml:space="preserve">270483</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01100fd56225498d">
                    <w:r>
                      <w:rPr>
                        <w:rStyle w:val="Hyperlink"/>
                      </w:rPr>
                      <w:t xml:space="preserve">Individual sessions—alcohol and drug</w:t>
                    </w:r>
                  </w:hyperlink>
                </w:p>
              </w:tc>
              <w:tc>
                <w:tcPr>
                  <w:vAlign w:val="top"/>
                </w:tcPr>
                <w:p>
                  <w:r>
                    <w:t xml:space="preserve">270508</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016823658ce64c57">
                    <w:r>
                      <w:rPr>
                        <w:rStyle w:val="Hyperlink"/>
                      </w:rPr>
                      <w:t xml:space="preserve">Individual sessions—allied health services</w:t>
                    </w:r>
                  </w:hyperlink>
                </w:p>
              </w:tc>
              <w:tc>
                <w:tcPr>
                  <w:vAlign w:val="top"/>
                </w:tcPr>
                <w:p>
                  <w:r>
                    <w:t xml:space="preserve">270502</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72c162ebea96466c">
                    <w:r>
                      <w:rPr>
                        <w:rStyle w:val="Hyperlink"/>
                      </w:rPr>
                      <w:t xml:space="preserve">Individual sessions—community health services</w:t>
                    </w:r>
                  </w:hyperlink>
                </w:p>
              </w:tc>
              <w:tc>
                <w:tcPr>
                  <w:vAlign w:val="top"/>
                </w:tcPr>
                <w:p>
                  <w:r>
                    <w:t xml:space="preserve">270395</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f85c40281b2945a0">
                    <w:r>
                      <w:rPr>
                        <w:rStyle w:val="Hyperlink"/>
                      </w:rPr>
                      <w:t xml:space="preserve">Individual sessions—dental</w:t>
                    </w:r>
                  </w:hyperlink>
                </w:p>
              </w:tc>
              <w:tc>
                <w:tcPr>
                  <w:vAlign w:val="top"/>
                </w:tcPr>
                <w:p>
                  <w:r>
                    <w:t xml:space="preserve">270513</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8ad96f27c0594c93">
                    <w:r>
                      <w:rPr>
                        <w:rStyle w:val="Hyperlink"/>
                      </w:rPr>
                      <w:t xml:space="preserve">Individual sessions—dialysis</w:t>
                    </w:r>
                  </w:hyperlink>
                </w:p>
              </w:tc>
              <w:tc>
                <w:tcPr>
                  <w:vAlign w:val="top"/>
                </w:tcPr>
                <w:p>
                  <w:r>
                    <w:t xml:space="preserve">270503</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7462960cbf9645ac">
                    <w:r>
                      <w:rPr>
                        <w:rStyle w:val="Hyperlink"/>
                      </w:rPr>
                      <w:t xml:space="preserve">Individual sessions—district nursing services</w:t>
                    </w:r>
                  </w:hyperlink>
                </w:p>
              </w:tc>
              <w:tc>
                <w:tcPr>
                  <w:vAlign w:val="top"/>
                </w:tcPr>
                <w:p>
                  <w:r>
                    <w:t xml:space="preserve">270512</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4baabbcc101f4429">
                    <w:r>
                      <w:rPr>
                        <w:rStyle w:val="Hyperlink"/>
                      </w:rPr>
                      <w:t xml:space="preserve">Individual sessions—emergency services</w:t>
                    </w:r>
                  </w:hyperlink>
                </w:p>
              </w:tc>
              <w:tc>
                <w:tcPr>
                  <w:vAlign w:val="top"/>
                </w:tcPr>
                <w:p>
                  <w:r>
                    <w:t xml:space="preserve">270506</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d24b822a944e4f98">
                    <w:r>
                      <w:rPr>
                        <w:rStyle w:val="Hyperlink"/>
                      </w:rPr>
                      <w:t xml:space="preserve">Individual sessions—endoscopy and related procedures</w:t>
                    </w:r>
                  </w:hyperlink>
                </w:p>
              </w:tc>
              <w:tc>
                <w:tcPr>
                  <w:vAlign w:val="top"/>
                </w:tcPr>
                <w:p>
                  <w:r>
                    <w:t xml:space="preserve">270507</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3d8fd672f9e94fe8">
                    <w:r>
                      <w:rPr>
                        <w:rStyle w:val="Hyperlink"/>
                      </w:rPr>
                      <w:t xml:space="preserve">Individual sessions—mental health</w:t>
                    </w:r>
                  </w:hyperlink>
                </w:p>
              </w:tc>
              <w:tc>
                <w:tcPr>
                  <w:vAlign w:val="top"/>
                </w:tcPr>
                <w:p>
                  <w:r>
                    <w:t xml:space="preserve">270504</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034e2b6d71c04578">
                    <w:r>
                      <w:rPr>
                        <w:rStyle w:val="Hyperlink"/>
                      </w:rPr>
                      <w:t xml:space="preserve">Individual sessions—other medical/surgical/diagnostic</w:t>
                    </w:r>
                  </w:hyperlink>
                </w:p>
              </w:tc>
              <w:tc>
                <w:tcPr>
                  <w:vAlign w:val="top"/>
                </w:tcPr>
                <w:p>
                  <w:r>
                    <w:t xml:space="preserve">270511</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a19b41e3f8e14c7e">
                    <w:r>
                      <w:rPr>
                        <w:rStyle w:val="Hyperlink"/>
                      </w:rPr>
                      <w:t xml:space="preserve">Individual sessions—other outreach services</w:t>
                    </w:r>
                  </w:hyperlink>
                </w:p>
              </w:tc>
              <w:tc>
                <w:tcPr>
                  <w:vAlign w:val="top"/>
                </w:tcPr>
                <w:p>
                  <w:r>
                    <w:t xml:space="preserve">270514</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766b10f290a14a67">
                    <w:r>
                      <w:rPr>
                        <w:rStyle w:val="Hyperlink"/>
                      </w:rPr>
                      <w:t xml:space="preserve">Individual sessions—pathology</w:t>
                    </w:r>
                  </w:hyperlink>
                </w:p>
              </w:tc>
              <w:tc>
                <w:tcPr>
                  <w:vAlign w:val="top"/>
                </w:tcPr>
                <w:p>
                  <w:r>
                    <w:t xml:space="preserve">270505</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e4a2d163890d4ff7">
                    <w:r>
                      <w:rPr>
                        <w:rStyle w:val="Hyperlink"/>
                      </w:rPr>
                      <w:t xml:space="preserve">Individual sessions—pharmacy</w:t>
                    </w:r>
                  </w:hyperlink>
                </w:p>
              </w:tc>
              <w:tc>
                <w:tcPr>
                  <w:vAlign w:val="top"/>
                </w:tcPr>
                <w:p>
                  <w:r>
                    <w:t xml:space="preserve">270509</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45f44ca15a594c7b">
                    <w:r>
                      <w:rPr>
                        <w:rStyle w:val="Hyperlink"/>
                      </w:rPr>
                      <w:t xml:space="preserve">Individual sessions—radiology and organ imaging</w:t>
                    </w:r>
                  </w:hyperlink>
                </w:p>
              </w:tc>
              <w:tc>
                <w:tcPr>
                  <w:vAlign w:val="top"/>
                </w:tcPr>
                <w:p>
                  <w:r>
                    <w:t xml:space="preserve">270510</w:t>
                  </w:r>
                </w:p>
              </w:tc>
              <w:tc>
                <w:tcPr>
                  <w:vAlign w:val="top"/>
                </w:tcPr>
                <w:p>
                  <w:r>
                    <w:t xml:space="preserve">Number
[7]</w:t>
                  </w:r>
                </w:p>
              </w:tc>
              <w:tc>
                <w:tcPr>
                  <w:vAlign w:val="top"/>
                </w:tcPr>
                <w:p>
                  <w:r>
                    <w:t xml:space="preserve">N[NNNNNN]</w:t>
                  </w:r>
                  <w:r>
                    <w:br/>
                  </w:r>
                  <w:r>
                    <w:t xml:space="preserve">Total number of occasions of service.</w:t>
                  </w:r>
                </w:p>
              </w:tc>
            </w:tr>
            <w:tr>
              <w:trPr/>
              <w:tc>
                <w:tcPr>
                  <w:tcMar>
                    <w:right w:w="29" w:type="dxa"/>
                  </w:tcMar>
                  <w:vAlign w:val="top"/>
                </w:tcPr>
                <w:p>
                  <w:pPr>
                    <w:keepNext/>
                    <w:jc w:val="center"/>
                  </w:pPr>
                  <w:r>
                    <w:t xml:space="preserve">-</w:t>
                  </w:r>
                </w:p>
              </w:tc>
              <w:tc>
                <w:tcPr>
                  <w:tcMar/>
                  <w:vAlign w:val="top"/>
                </w:tcPr>
                <w:p>
                  <w:hyperlink w:history="true" r:id="R408546a6195f42f5">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809de95da2c48dc">
                    <w:r>
                      <w:rPr>
                        <w:rStyle w:val="Hyperlink"/>
                      </w:rPr>
                      <w:t xml:space="preserve">Recurrent expenditure—administrative expenses</w:t>
                    </w:r>
                  </w:hyperlink>
                </w:p>
              </w:tc>
              <w:tc>
                <w:tcPr>
                  <w:vAlign w:val="top"/>
                </w:tcPr>
                <w:p>
                  <w:r>
                    <w:t xml:space="preserve">270107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988a44efbee4a47">
                    <w:r>
                      <w:rPr>
                        <w:rStyle w:val="Hyperlink"/>
                      </w:rPr>
                      <w:t xml:space="preserve">Recurrent expenditure—depreciation</w:t>
                    </w:r>
                  </w:hyperlink>
                </w:p>
              </w:tc>
              <w:tc>
                <w:tcPr>
                  <w:vAlign w:val="top"/>
                </w:tcPr>
                <w:p>
                  <w:r>
                    <w:t xml:space="preserve">270279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e197d0cda2644d2">
                    <w:r>
                      <w:rPr>
                        <w:rStyle w:val="Hyperlink"/>
                      </w:rPr>
                      <w:t xml:space="preserve">Recurrent expenditure—domestic services</w:t>
                    </w:r>
                  </w:hyperlink>
                </w:p>
              </w:tc>
              <w:tc>
                <w:tcPr>
                  <w:vAlign w:val="top"/>
                </w:tcPr>
                <w:p>
                  <w:r>
                    <w:t xml:space="preserve">270283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df12bf755834471">
                    <w:r>
                      <w:rPr>
                        <w:rStyle w:val="Hyperlink"/>
                      </w:rPr>
                      <w:t xml:space="preserve">Recurrent expenditure—drug supplies</w:t>
                    </w:r>
                  </w:hyperlink>
                </w:p>
              </w:tc>
              <w:tc>
                <w:tcPr>
                  <w:vAlign w:val="top"/>
                </w:tcPr>
                <w:p>
                  <w:r>
                    <w:t xml:space="preserve">270282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d1c8c0611f147e3">
                    <w:r>
                      <w:rPr>
                        <w:rStyle w:val="Hyperlink"/>
                      </w:rPr>
                      <w:t xml:space="preserve">Recurrent expenditure—food supplies</w:t>
                    </w:r>
                  </w:hyperlink>
                </w:p>
              </w:tc>
              <w:tc>
                <w:tcPr>
                  <w:vAlign w:val="top"/>
                </w:tcPr>
                <w:p>
                  <w:r>
                    <w:t xml:space="preserve">270284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58df8781127461e">
                    <w:r>
                      <w:rPr>
                        <w:rStyle w:val="Hyperlink"/>
                      </w:rPr>
                      <w:t xml:space="preserve">Recurrent expenditure (indirect health care)—central administrations</w:t>
                    </w:r>
                  </w:hyperlink>
                </w:p>
              </w:tc>
              <w:tc>
                <w:tcPr>
                  <w:vAlign w:val="top"/>
                </w:tcPr>
                <w:p>
                  <w:r>
                    <w:t xml:space="preserve">270294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3c4259ce22449e8">
                    <w:r>
                      <w:rPr>
                        <w:rStyle w:val="Hyperlink"/>
                      </w:rPr>
                      <w:t xml:space="preserve">Recurrent expenditure (indirect health care)—central and statewide support services</w:t>
                    </w:r>
                  </w:hyperlink>
                </w:p>
              </w:tc>
              <w:tc>
                <w:tcPr>
                  <w:vAlign w:val="top"/>
                </w:tcPr>
                <w:p>
                  <w:r>
                    <w:t xml:space="preserve">270293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010898d478b4ef7">
                    <w:r>
                      <w:rPr>
                        <w:rStyle w:val="Hyperlink"/>
                      </w:rPr>
                      <w:t xml:space="preserve">Recurrent expenditure (indirect health care)—other</w:t>
                    </w:r>
                  </w:hyperlink>
                </w:p>
              </w:tc>
              <w:tc>
                <w:tcPr>
                  <w:vAlign w:val="top"/>
                </w:tcPr>
                <w:p>
                  <w:r>
                    <w:t xml:space="preserve">270295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c6cd478d5d64f5a">
                    <w:r>
                      <w:rPr>
                        <w:rStyle w:val="Hyperlink"/>
                      </w:rPr>
                      <w:t xml:space="preserve">Recurrent expenditure (indirect health care)—patient transport services</w:t>
                    </w:r>
                  </w:hyperlink>
                </w:p>
              </w:tc>
              <w:tc>
                <w:tcPr>
                  <w:vAlign w:val="top"/>
                </w:tcPr>
                <w:p>
                  <w:r>
                    <w:t xml:space="preserve">270291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c6d5b26bdfc4ad3">
                    <w:r>
                      <w:rPr>
                        <w:rStyle w:val="Hyperlink"/>
                      </w:rPr>
                      <w:t xml:space="preserve">Recurrent expenditure (indirect health care)— public health and monitoring services</w:t>
                    </w:r>
                  </w:hyperlink>
                </w:p>
              </w:tc>
              <w:tc>
                <w:tcPr>
                  <w:vAlign w:val="top"/>
                </w:tcPr>
                <w:p>
                  <w:r>
                    <w:t xml:space="preserve">270292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4732e35b0a241a1">
                    <w:r>
                      <w:rPr>
                        <w:rStyle w:val="Hyperlink"/>
                      </w:rPr>
                      <w:t xml:space="preserve">Recurrent expenditure—interest payments</w:t>
                    </w:r>
                  </w:hyperlink>
                </w:p>
              </w:tc>
              <w:tc>
                <w:tcPr>
                  <w:vAlign w:val="top"/>
                </w:tcPr>
                <w:p>
                  <w:r>
                    <w:t xml:space="preserve">270186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98c8247729f4365">
                    <w:r>
                      <w:rPr>
                        <w:rStyle w:val="Hyperlink"/>
                      </w:rPr>
                      <w:t xml:space="preserve">Recurrent expenditure—medical and surgical supplies</w:t>
                    </w:r>
                  </w:hyperlink>
                </w:p>
              </w:tc>
              <w:tc>
                <w:tcPr>
                  <w:vAlign w:val="top"/>
                </w:tcPr>
                <w:p>
                  <w:r>
                    <w:t xml:space="preserve">270358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e2453b582c24574">
                    <w:r>
                      <w:rPr>
                        <w:rStyle w:val="Hyperlink"/>
                      </w:rPr>
                      <w:t xml:space="preserve">Recurrent expenditure—other recurrent expenditure</w:t>
                    </w:r>
                  </w:hyperlink>
                </w:p>
              </w:tc>
              <w:tc>
                <w:tcPr>
                  <w:vAlign w:val="top"/>
                </w:tcPr>
                <w:p>
                  <w:r>
                    <w:t xml:space="preserve">270126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5f472c68b0e49b9">
                    <w:r>
                      <w:rPr>
                        <w:rStyle w:val="Hyperlink"/>
                      </w:rPr>
                      <w:t xml:space="preserve">Recurrent expenditure—patient transport</w:t>
                    </w:r>
                  </w:hyperlink>
                </w:p>
              </w:tc>
              <w:tc>
                <w:tcPr>
                  <w:vAlign w:val="top"/>
                </w:tcPr>
                <w:p>
                  <w:r>
                    <w:t xml:space="preserve">270048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da091ae4a034255">
                    <w:r>
                      <w:rPr>
                        <w:rStyle w:val="Hyperlink"/>
                      </w:rPr>
                      <w:t xml:space="preserve">Recurrent expenditure—repairs and maintenance</w:t>
                    </w:r>
                  </w:hyperlink>
                </w:p>
              </w:tc>
              <w:tc>
                <w:tcPr>
                  <w:vAlign w:val="top"/>
                </w:tcPr>
                <w:p>
                  <w:r>
                    <w:t xml:space="preserve">269970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89def707d0c4414">
                    <w:r>
                      <w:rPr>
                        <w:rStyle w:val="Hyperlink"/>
                      </w:rPr>
                      <w:t xml:space="preserve">Recurrent expenditure (salaries and wages)—administrative and clerical staff</w:t>
                    </w:r>
                  </w:hyperlink>
                </w:p>
              </w:tc>
              <w:tc>
                <w:tcPr>
                  <w:vAlign w:val="top"/>
                </w:tcPr>
                <w:p>
                  <w:r>
                    <w:t xml:space="preserve">270275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e146f896c1342e3">
                    <w:r>
                      <w:rPr>
                        <w:rStyle w:val="Hyperlink"/>
                      </w:rPr>
                      <w:t xml:space="preserve">Recurrent expenditure (salaries and wages)—diagnostic and health professionals</w:t>
                    </w:r>
                  </w:hyperlink>
                </w:p>
              </w:tc>
              <w:tc>
                <w:tcPr>
                  <w:vAlign w:val="top"/>
                </w:tcPr>
                <w:p>
                  <w:r>
                    <w:t xml:space="preserve">270274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bc96e41d3144ccf">
                    <w:r>
                      <w:rPr>
                        <w:rStyle w:val="Hyperlink"/>
                      </w:rPr>
                      <w:t xml:space="preserve">Recurrent expenditure (salaries and wages)—domestic and other staff</w:t>
                    </w:r>
                  </w:hyperlink>
                </w:p>
              </w:tc>
              <w:tc>
                <w:tcPr>
                  <w:vAlign w:val="top"/>
                </w:tcPr>
                <w:p>
                  <w:r>
                    <w:t xml:space="preserve">270276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d38018d010d4bcb">
                    <w:r>
                      <w:rPr>
                        <w:rStyle w:val="Hyperlink"/>
                      </w:rPr>
                      <w:t xml:space="preserve">Recurrent expenditure (salaries and wages)—enrolled nurses</w:t>
                    </w:r>
                  </w:hyperlink>
                </w:p>
              </w:tc>
              <w:tc>
                <w:tcPr>
                  <w:vAlign w:val="top"/>
                </w:tcPr>
                <w:p>
                  <w:r>
                    <w:t xml:space="preserve">270270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fbccc6abf354149">
                    <w:r>
                      <w:rPr>
                        <w:rStyle w:val="Hyperlink"/>
                      </w:rPr>
                      <w:t xml:space="preserve">Recurrent expenditure (salaries and wages)—total</w:t>
                    </w:r>
                  </w:hyperlink>
                </w:p>
              </w:tc>
              <w:tc>
                <w:tcPr>
                  <w:vAlign w:val="top"/>
                </w:tcPr>
                <w:p>
                  <w:r>
                    <w:t xml:space="preserve">270470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7c6c437dd6849b5">
                    <w:r>
                      <w:rPr>
                        <w:rStyle w:val="Hyperlink"/>
                      </w:rPr>
                      <w:t xml:space="preserve">Recurrent expenditure (salaries and wages)—other personal care staff</w:t>
                    </w:r>
                  </w:hyperlink>
                </w:p>
              </w:tc>
              <w:tc>
                <w:tcPr>
                  <w:vAlign w:val="top"/>
                </w:tcPr>
                <w:p>
                  <w:r>
                    <w:t xml:space="preserve">270273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2273210079445d0">
                    <w:r>
                      <w:rPr>
                        <w:rStyle w:val="Hyperlink"/>
                      </w:rPr>
                      <w:t xml:space="preserve">Recurrent expenditure (salaries and wages)—registered nurses</w:t>
                    </w:r>
                  </w:hyperlink>
                </w:p>
              </w:tc>
              <w:tc>
                <w:tcPr>
                  <w:vAlign w:val="top"/>
                </w:tcPr>
                <w:p>
                  <w:r>
                    <w:t xml:space="preserve">270269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3d22746027c4565">
                    <w:r>
                      <w:rPr>
                        <w:rStyle w:val="Hyperlink"/>
                      </w:rPr>
                      <w:t xml:space="preserve">Recurrent expenditure (salaries and wages)—salaried medical officers</w:t>
                    </w:r>
                  </w:hyperlink>
                </w:p>
              </w:tc>
              <w:tc>
                <w:tcPr>
                  <w:vAlign w:val="top"/>
                </w:tcPr>
                <w:p>
                  <w:r>
                    <w:t xml:space="preserve">270265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0c0dc4d59d5426c">
                    <w:r>
                      <w:rPr>
                        <w:rStyle w:val="Hyperlink"/>
                      </w:rPr>
                      <w:t xml:space="preserve">Recurrent expenditure (salaries and wages)—student nurses</w:t>
                    </w:r>
                  </w:hyperlink>
                </w:p>
              </w:tc>
              <w:tc>
                <w:tcPr>
                  <w:vAlign w:val="top"/>
                </w:tcPr>
                <w:p>
                  <w:r>
                    <w:t xml:space="preserve">270271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7a1395ecc7d4cba">
                    <w:r>
                      <w:rPr>
                        <w:rStyle w:val="Hyperlink"/>
                      </w:rPr>
                      <w:t xml:space="preserve">Recurrent expenditure (salaries and wages)—trainee/pupil nurses</w:t>
                    </w:r>
                  </w:hyperlink>
                </w:p>
              </w:tc>
              <w:tc>
                <w:tcPr>
                  <w:vAlign w:val="top"/>
                </w:tcPr>
                <w:p>
                  <w:r>
                    <w:t xml:space="preserve">270272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4adef6efcfd46d9">
                    <w:r>
                      <w:rPr>
                        <w:rStyle w:val="Hyperlink"/>
                      </w:rPr>
                      <w:t xml:space="preserve">Recurrent expenditure—superannuation employer contributions</w:t>
                    </w:r>
                  </w:hyperlink>
                </w:p>
              </w:tc>
              <w:tc>
                <w:tcPr>
                  <w:vAlign w:val="top"/>
                </w:tcPr>
                <w:p>
                  <w:r>
                    <w:t xml:space="preserve">270371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b0519a0a67346c8">
                    <w:r>
                      <w:rPr>
                        <w:rStyle w:val="Hyperlink"/>
                      </w:rPr>
                      <w:t xml:space="preserve">Recurrent expenditure—payments to visiting medical officers</w:t>
                    </w:r>
                  </w:hyperlink>
                </w:p>
              </w:tc>
              <w:tc>
                <w:tcPr>
                  <w:vAlign w:val="top"/>
                </w:tcPr>
                <w:p>
                  <w:r>
                    <w:t xml:space="preserve">270049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c333ec4d4a04d24">
                    <w:r>
                      <w:rPr>
                        <w:rStyle w:val="Hyperlink"/>
                      </w:rPr>
                      <w:t xml:space="preserve">Revenue—other</w:t>
                    </w:r>
                  </w:hyperlink>
                </w:p>
              </w:tc>
              <w:tc>
                <w:tcPr>
                  <w:vAlign w:val="top"/>
                </w:tcPr>
                <w:p>
                  <w:r>
                    <w:t xml:space="preserve">364799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585922237d34a47">
                    <w:r>
                      <w:rPr>
                        <w:rStyle w:val="Hyperlink"/>
                      </w:rPr>
                      <w:t xml:space="preserve">Revenue—patient</w:t>
                    </w:r>
                  </w:hyperlink>
                </w:p>
              </w:tc>
              <w:tc>
                <w:tcPr>
                  <w:vAlign w:val="top"/>
                </w:tcPr>
                <w:p>
                  <w:r>
                    <w:t xml:space="preserve">364797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d873061324346a3">
                    <w:r>
                      <w:rPr>
                        <w:rStyle w:val="Hyperlink"/>
                      </w:rPr>
                      <w:t xml:space="preserve">Revenue—recoveries</w:t>
                    </w:r>
                  </w:hyperlink>
                </w:p>
              </w:tc>
              <w:tc>
                <w:tcPr>
                  <w:vAlign w:val="top"/>
                </w:tcPr>
                <w:p>
                  <w:r>
                    <w:t xml:space="preserve">364805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30f15b2deec4d28">
                    <w:r>
                      <w:rPr>
                        <w:rStyle w:val="Hyperlink"/>
                      </w:rPr>
                      <w:t xml:space="preserve">Specialised service indicators—acquired immune deficiency syndrome unit</w:t>
                    </w:r>
                  </w:hyperlink>
                </w:p>
              </w:tc>
              <w:tc>
                <w:tcPr>
                  <w:vAlign w:val="top"/>
                </w:tcPr>
                <w:p>
                  <w:r>
                    <w:t xml:space="preserve">270448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b41d8aa39004a77">
                    <w:r>
                      <w:rPr>
                        <w:rStyle w:val="Hyperlink"/>
                      </w:rPr>
                      <w:t xml:space="preserve">Specialised service indicators—acute renal dialysis unit</w:t>
                    </w:r>
                  </w:hyperlink>
                </w:p>
              </w:tc>
              <w:tc>
                <w:tcPr>
                  <w:vAlign w:val="top"/>
                </w:tcPr>
                <w:p>
                  <w:r>
                    <w:t xml:space="preserve">270435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70d88bb80ff4427">
                    <w:r>
                      <w:rPr>
                        <w:rStyle w:val="Hyperlink"/>
                      </w:rPr>
                      <w:t xml:space="preserve">Specialised service indicators—acute spinal cord injury unit</w:t>
                    </w:r>
                  </w:hyperlink>
                </w:p>
              </w:tc>
              <w:tc>
                <w:tcPr>
                  <w:vAlign w:val="top"/>
                </w:tcPr>
                <w:p>
                  <w:r>
                    <w:t xml:space="preserve">270432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dcf9f305c574d60">
                    <w:r>
                      <w:rPr>
                        <w:rStyle w:val="Hyperlink"/>
                      </w:rPr>
                      <w:t xml:space="preserve">Specialised service indicators—alcohol and drug unit</w:t>
                    </w:r>
                  </w:hyperlink>
                </w:p>
              </w:tc>
              <w:tc>
                <w:tcPr>
                  <w:vAlign w:val="top"/>
                </w:tcPr>
                <w:p>
                  <w:r>
                    <w:t xml:space="preserve">270431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98c0a5b77674f9c">
                    <w:r>
                      <w:rPr>
                        <w:rStyle w:val="Hyperlink"/>
                      </w:rPr>
                      <w:t xml:space="preserve">Specialised service indicators—bone marrow transplantation unit</w:t>
                    </w:r>
                  </w:hyperlink>
                </w:p>
              </w:tc>
              <w:tc>
                <w:tcPr>
                  <w:vAlign w:val="top"/>
                </w:tcPr>
                <w:p>
                  <w:r>
                    <w:t xml:space="preserve">308862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af182e25ffd4340">
                    <w:r>
                      <w:rPr>
                        <w:rStyle w:val="Hyperlink"/>
                      </w:rPr>
                      <w:t xml:space="preserve">Specialised service indicators—burns unit (level III)</w:t>
                    </w:r>
                  </w:hyperlink>
                </w:p>
              </w:tc>
              <w:tc>
                <w:tcPr>
                  <w:vAlign w:val="top"/>
                </w:tcPr>
                <w:p>
                  <w:r>
                    <w:t xml:space="preserve">270438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16a6f30fb3c478f">
                    <w:r>
                      <w:rPr>
                        <w:rStyle w:val="Hyperlink"/>
                      </w:rPr>
                      <w:t xml:space="preserve">Specialised service indicators—cardiac surgery unit</w:t>
                    </w:r>
                  </w:hyperlink>
                </w:p>
              </w:tc>
              <w:tc>
                <w:tcPr>
                  <w:vAlign w:val="top"/>
                </w:tcPr>
                <w:p>
                  <w:r>
                    <w:t xml:space="preserve">270434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668bcd1dc0942ab">
                    <w:r>
                      <w:rPr>
                        <w:rStyle w:val="Hyperlink"/>
                      </w:rPr>
                      <w:t xml:space="preserve">Specialised service indicators—clinical genetics unit</w:t>
                    </w:r>
                  </w:hyperlink>
                </w:p>
              </w:tc>
              <w:tc>
                <w:tcPr>
                  <w:vAlign w:val="top"/>
                </w:tcPr>
                <w:p>
                  <w:r>
                    <w:t xml:space="preserve">270444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f6d623eb12449d5">
                    <w:r>
                      <w:rPr>
                        <w:rStyle w:val="Hyperlink"/>
                      </w:rPr>
                      <w:t xml:space="preserve">Specialised service indicators—comprehensive epilepsy centre</w:t>
                    </w:r>
                  </w:hyperlink>
                </w:p>
              </w:tc>
              <w:tc>
                <w:tcPr>
                  <w:vAlign w:val="top"/>
                </w:tcPr>
                <w:p>
                  <w:r>
                    <w:t xml:space="preserve">270442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e4124b156104176">
                    <w:r>
                      <w:rPr>
                        <w:rStyle w:val="Hyperlink"/>
                      </w:rPr>
                      <w:t xml:space="preserve">Specialised service indicators—coronary care unit</w:t>
                    </w:r>
                  </w:hyperlink>
                </w:p>
              </w:tc>
              <w:tc>
                <w:tcPr>
                  <w:vAlign w:val="top"/>
                </w:tcPr>
                <w:p>
                  <w:r>
                    <w:t xml:space="preserve">270433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919e0b9f1824426">
                    <w:r>
                      <w:rPr>
                        <w:rStyle w:val="Hyperlink"/>
                      </w:rPr>
                      <w:t xml:space="preserve">Specialised service indicators—diabetes unit</w:t>
                    </w:r>
                  </w:hyperlink>
                </w:p>
              </w:tc>
              <w:tc>
                <w:tcPr>
                  <w:vAlign w:val="top"/>
                </w:tcPr>
                <w:p>
                  <w:r>
                    <w:t xml:space="preserve">270449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dc3ca1807b340af">
                    <w:r>
                      <w:rPr>
                        <w:rStyle w:val="Hyperlink"/>
                      </w:rPr>
                      <w:t xml:space="preserve">Specialised service indicators—domiciliary care service</w:t>
                    </w:r>
                  </w:hyperlink>
                </w:p>
              </w:tc>
              <w:tc>
                <w:tcPr>
                  <w:vAlign w:val="top"/>
                </w:tcPr>
                <w:p>
                  <w:r>
                    <w:t xml:space="preserve">270430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c07814960f24cf1">
                    <w:r>
                      <w:rPr>
                        <w:rStyle w:val="Hyperlink"/>
                      </w:rPr>
                      <w:t xml:space="preserve">Specialised service indicators—geriatric assessment unit</w:t>
                    </w:r>
                  </w:hyperlink>
                </w:p>
              </w:tc>
              <w:tc>
                <w:tcPr>
                  <w:vAlign w:val="top"/>
                </w:tcPr>
                <w:p>
                  <w:r>
                    <w:t xml:space="preserve">270429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e5c3f03328944a4">
                    <w:r>
                      <w:rPr>
                        <w:rStyle w:val="Hyperlink"/>
                      </w:rPr>
                      <w:t xml:space="preserve">Specialised service indicators—heart, lung transplantation unit</w:t>
                    </w:r>
                  </w:hyperlink>
                </w:p>
              </w:tc>
              <w:tc>
                <w:tcPr>
                  <w:vAlign w:val="top"/>
                </w:tcPr>
                <w:p>
                  <w:r>
                    <w:t xml:space="preserve">308866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20725022dcd4172">
                    <w:r>
                      <w:rPr>
                        <w:rStyle w:val="Hyperlink"/>
                      </w:rPr>
                      <w:t xml:space="preserve">Specialised service indicators—hospice care unit</w:t>
                    </w:r>
                  </w:hyperlink>
                </w:p>
              </w:tc>
              <w:tc>
                <w:tcPr>
                  <w:vAlign w:val="top"/>
                </w:tcPr>
                <w:p>
                  <w:r>
                    <w:t xml:space="preserve">270427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4d67102cf4d449c">
                    <w:r>
                      <w:rPr>
                        <w:rStyle w:val="Hyperlink"/>
                      </w:rPr>
                      <w:t xml:space="preserve">Specialised service indicators—infectious diseases unit</w:t>
                    </w:r>
                  </w:hyperlink>
                </w:p>
              </w:tc>
              <w:tc>
                <w:tcPr>
                  <w:vAlign w:val="top"/>
                </w:tcPr>
                <w:p>
                  <w:r>
                    <w:t xml:space="preserve">270447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80be3ef34514a15">
                    <w:r>
                      <w:rPr>
                        <w:rStyle w:val="Hyperlink"/>
                      </w:rPr>
                      <w:t xml:space="preserve">Specialised service indicators—intensive care unit (level III)</w:t>
                    </w:r>
                  </w:hyperlink>
                </w:p>
              </w:tc>
              <w:tc>
                <w:tcPr>
                  <w:vAlign w:val="top"/>
                </w:tcPr>
                <w:p>
                  <w:r>
                    <w:t xml:space="preserve">270426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d5a8850fceb4bd3">
                    <w:r>
                      <w:rPr>
                        <w:rStyle w:val="Hyperlink"/>
                      </w:rPr>
                      <w:t xml:space="preserve">Specialised service indicators—in-vitro fertilisation unit</w:t>
                    </w:r>
                  </w:hyperlink>
                </w:p>
              </w:tc>
              <w:tc>
                <w:tcPr>
                  <w:vAlign w:val="top"/>
                </w:tcPr>
                <w:p>
                  <w:r>
                    <w:t xml:space="preserve">270441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23a6f02bfd44b16">
                    <w:r>
                      <w:rPr>
                        <w:rStyle w:val="Hyperlink"/>
                      </w:rPr>
                      <w:t xml:space="preserve">Specialised service indicators—liver transplantation unit</w:t>
                    </w:r>
                  </w:hyperlink>
                </w:p>
              </w:tc>
              <w:tc>
                <w:tcPr>
                  <w:vAlign w:val="top"/>
                </w:tcPr>
                <w:p>
                  <w:r>
                    <w:t xml:space="preserve">308868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a799a6adf814f25">
                    <w:r>
                      <w:rPr>
                        <w:rStyle w:val="Hyperlink"/>
                      </w:rPr>
                      <w:t xml:space="preserve">Specialised service indicators—maintenance renal dialysis centre</w:t>
                    </w:r>
                  </w:hyperlink>
                </w:p>
              </w:tc>
              <w:tc>
                <w:tcPr>
                  <w:vAlign w:val="top"/>
                </w:tcPr>
                <w:p>
                  <w:r>
                    <w:t xml:space="preserve">270437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cc34cc8b0c045dd">
                    <w:r>
                      <w:rPr>
                        <w:rStyle w:val="Hyperlink"/>
                      </w:rPr>
                      <w:t xml:space="preserve">Specialised service indicators—major plastic/reconstructive surgery unit</w:t>
                    </w:r>
                  </w:hyperlink>
                </w:p>
              </w:tc>
              <w:tc>
                <w:tcPr>
                  <w:vAlign w:val="top"/>
                </w:tcPr>
                <w:p>
                  <w:r>
                    <w:t xml:space="preserve">270439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6b83e1d2da54f0a">
                    <w:r>
                      <w:rPr>
                        <w:rStyle w:val="Hyperlink"/>
                      </w:rPr>
                      <w:t xml:space="preserve">Specialised service indicators—neonatal intensive care unit (level III)</w:t>
                    </w:r>
                  </w:hyperlink>
                </w:p>
              </w:tc>
              <w:tc>
                <w:tcPr>
                  <w:vAlign w:val="top"/>
                </w:tcPr>
                <w:p>
                  <w:r>
                    <w:t xml:space="preserve">270436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7d72b8a960243ef">
                    <w:r>
                      <w:rPr>
                        <w:rStyle w:val="Hyperlink"/>
                      </w:rPr>
                      <w:t xml:space="preserve">Specialised service indicators—neurosurgical unit</w:t>
                    </w:r>
                  </w:hyperlink>
                </w:p>
              </w:tc>
              <w:tc>
                <w:tcPr>
                  <w:vAlign w:val="top"/>
                </w:tcPr>
                <w:p>
                  <w:r>
                    <w:t xml:space="preserve">270446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1715d57d70e44f3">
                    <w:r>
                      <w:rPr>
                        <w:rStyle w:val="Hyperlink"/>
                      </w:rPr>
                      <w:t xml:space="preserve">Specialised service indicators—nursing home care unit</w:t>
                    </w:r>
                  </w:hyperlink>
                </w:p>
              </w:tc>
              <w:tc>
                <w:tcPr>
                  <w:vAlign w:val="top"/>
                </w:tcPr>
                <w:p>
                  <w:r>
                    <w:t xml:space="preserve">270428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6bf59d87a774ab3">
                    <w:r>
                      <w:rPr>
                        <w:rStyle w:val="Hyperlink"/>
                      </w:rPr>
                      <w:t xml:space="preserve">Specialised service indicators—obstetric/maternity</w:t>
                    </w:r>
                  </w:hyperlink>
                </w:p>
              </w:tc>
              <w:tc>
                <w:tcPr>
                  <w:vAlign w:val="top"/>
                </w:tcPr>
                <w:p>
                  <w:r>
                    <w:t xml:space="preserve">270150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93dca7c61734f4e">
                    <w:r>
                      <w:rPr>
                        <w:rStyle w:val="Hyperlink"/>
                      </w:rPr>
                      <w:t xml:space="preserve">Specialised service indicators—oncology unit, cancer treatment</w:t>
                    </w:r>
                  </w:hyperlink>
                </w:p>
              </w:tc>
              <w:tc>
                <w:tcPr>
                  <w:vAlign w:val="top"/>
                </w:tcPr>
                <w:p>
                  <w:r>
                    <w:t xml:space="preserve">270440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e6db09f8bcc40e3">
                    <w:r>
                      <w:rPr>
                        <w:rStyle w:val="Hyperlink"/>
                      </w:rPr>
                      <w:t xml:space="preserve">Specialised service indicators—pancreas transplantation unit</w:t>
                    </w:r>
                  </w:hyperlink>
                </w:p>
              </w:tc>
              <w:tc>
                <w:tcPr>
                  <w:vAlign w:val="top"/>
                </w:tcPr>
                <w:p>
                  <w:r>
                    <w:t xml:space="preserve">308870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6114031076c46b5">
                    <w:r>
                      <w:rPr>
                        <w:rStyle w:val="Hyperlink"/>
                      </w:rPr>
                      <w:t xml:space="preserve">Specialised service indicators—psychiatric unit/ward</w:t>
                    </w:r>
                  </w:hyperlink>
                </w:p>
              </w:tc>
              <w:tc>
                <w:tcPr>
                  <w:vAlign w:val="top"/>
                </w:tcPr>
                <w:p>
                  <w:r>
                    <w:t xml:space="preserve">270425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272a604cbf44544">
                    <w:r>
                      <w:rPr>
                        <w:rStyle w:val="Hyperlink"/>
                      </w:rPr>
                      <w:t xml:space="preserve">Specialised service indicators—rehabilitation unit</w:t>
                    </w:r>
                  </w:hyperlink>
                </w:p>
              </w:tc>
              <w:tc>
                <w:tcPr>
                  <w:vAlign w:val="top"/>
                </w:tcPr>
                <w:p>
                  <w:r>
                    <w:t xml:space="preserve">270450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04caca3f697409c">
                    <w:r>
                      <w:rPr>
                        <w:rStyle w:val="Hyperlink"/>
                      </w:rPr>
                      <w:t xml:space="preserve">Specialised service indicators—renal transplantation unit</w:t>
                    </w:r>
                  </w:hyperlink>
                </w:p>
              </w:tc>
              <w:tc>
                <w:tcPr>
                  <w:vAlign w:val="top"/>
                </w:tcPr>
                <w:p>
                  <w:r>
                    <w:t xml:space="preserve">308864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44d8f6de6434f99">
                    <w:r>
                      <w:rPr>
                        <w:rStyle w:val="Hyperlink"/>
                      </w:rPr>
                      <w:t xml:space="preserve">Specialised service indicators—sleep centre</w:t>
                    </w:r>
                  </w:hyperlink>
                </w:p>
              </w:tc>
              <w:tc>
                <w:tcPr>
                  <w:vAlign w:val="top"/>
                </w:tcPr>
                <w:p>
                  <w:r>
                    <w:t xml:space="preserve">270445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8964e1b89804df7">
                    <w:r>
                      <w:rPr>
                        <w:rStyle w:val="Hyperlink"/>
                      </w:rPr>
                      <w:t xml:space="preserve">Specialised service indicators—specialist paediatric</w:t>
                    </w:r>
                  </w:hyperlink>
                </w:p>
              </w:tc>
              <w:tc>
                <w:tcPr>
                  <w:vAlign w:val="top"/>
                </w:tcPr>
                <w:p>
                  <w:r>
                    <w:t xml:space="preserve">270424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febb20697634852">
                    <w:r>
                      <w:rPr>
                        <w:rStyle w:val="Hyperlink"/>
                      </w:rPr>
                      <w:t xml:space="preserve">Teaching status</w:t>
                    </w:r>
                  </w:hyperlink>
                </w:p>
              </w:tc>
              <w:tc>
                <w:tcPr>
                  <w:vAlign w:val="top"/>
                </w:tcPr>
                <w:p>
                  <w:r>
                    <w:t xml:space="preserve">270148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bf557acfc14e4d7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470656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908c0b302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557acfc14e4d70" /><Relationship Type="http://schemas.openxmlformats.org/officeDocument/2006/relationships/header" Target="/word/header1.xml" Id="R83535ed986c046ea" /><Relationship Type="http://schemas.openxmlformats.org/officeDocument/2006/relationships/settings" Target="/word/settings.xml" Id="Rf1174fdbbac54f5d" /><Relationship Type="http://schemas.openxmlformats.org/officeDocument/2006/relationships/styles" Target="/word/styles.xml" Id="R9244da3393054d0d" /><Relationship Type="http://schemas.openxmlformats.org/officeDocument/2006/relationships/hyperlink" Target="https://meteor-uat.aihw.gov.au/content/457289" TargetMode="External" Id="R6bfe2e9b1ed742f8" /><Relationship Type="http://schemas.openxmlformats.org/officeDocument/2006/relationships/hyperlink" Target="https://meteor-uat.aihw.gov.au/content/374151" TargetMode="External" Id="Rf61414c6cf184c86" /><Relationship Type="http://schemas.openxmlformats.org/officeDocument/2006/relationships/hyperlink" Target="https://meteor-uat.aihw.gov.au/content/373966" TargetMode="External" Id="R37652997abcd47de" /><Relationship Type="http://schemas.openxmlformats.org/officeDocument/2006/relationships/hyperlink" Target="https://meteor-uat.aihw.gov.au/content/270217" TargetMode="External" Id="R4804eb0c27574e42" /><Relationship Type="http://schemas.openxmlformats.org/officeDocument/2006/relationships/hyperlink" Target="https://meteor-uat.aihw.gov.au/content/270219" TargetMode="External" Id="Rc50db604225a43da" /><Relationship Type="http://schemas.openxmlformats.org/officeDocument/2006/relationships/hyperlink" Target="https://meteor-uat.aihw.gov.au/content/270216" TargetMode="External" Id="Rfcee01f08a2740c8" /><Relationship Type="http://schemas.openxmlformats.org/officeDocument/2006/relationships/hyperlink" Target="https://meteor-uat.aihw.gov.au/content/270218" TargetMode="External" Id="R69acce1c13f74538" /><Relationship Type="http://schemas.openxmlformats.org/officeDocument/2006/relationships/hyperlink" Target="https://meteor-uat.aihw.gov.au/content/269971" TargetMode="External" Id="Rd33791f6adb24f99" /><Relationship Type="http://schemas.openxmlformats.org/officeDocument/2006/relationships/hyperlink" Target="https://meteor-uat.aihw.gov.au/content/270496" TargetMode="External" Id="R137c2bc6e6ec4012" /><Relationship Type="http://schemas.openxmlformats.org/officeDocument/2006/relationships/hyperlink" Target="https://meteor-uat.aihw.gov.au/content/270495" TargetMode="External" Id="Ra641000b803745a3" /><Relationship Type="http://schemas.openxmlformats.org/officeDocument/2006/relationships/hyperlink" Target="https://meteor-uat.aihw.gov.au/content/270498" TargetMode="External" Id="R63b575303b924045" /><Relationship Type="http://schemas.openxmlformats.org/officeDocument/2006/relationships/hyperlink" Target="https://meteor-uat.aihw.gov.au/content/270497" TargetMode="External" Id="Ra08722a0ada5439e" /><Relationship Type="http://schemas.openxmlformats.org/officeDocument/2006/relationships/hyperlink" Target="https://meteor-uat.aihw.gov.au/content/270171" TargetMode="External" Id="R14b4affbf3d54f6c" /><Relationship Type="http://schemas.openxmlformats.org/officeDocument/2006/relationships/hyperlink" Target="https://meteor-uat.aihw.gov.au/content/270500" TargetMode="External" Id="R3ab565f56070462b" /><Relationship Type="http://schemas.openxmlformats.org/officeDocument/2006/relationships/hyperlink" Target="https://meteor-uat.aihw.gov.au/content/270494" TargetMode="External" Id="R630c668ff8894e87" /><Relationship Type="http://schemas.openxmlformats.org/officeDocument/2006/relationships/hyperlink" Target="https://meteor-uat.aihw.gov.au/content/270499" TargetMode="External" Id="R7731eebf85ab4b0b" /><Relationship Type="http://schemas.openxmlformats.org/officeDocument/2006/relationships/hyperlink" Target="https://meteor-uat.aihw.gov.au/content/270493" TargetMode="External" Id="R1d46d2b4c2394445" /><Relationship Type="http://schemas.openxmlformats.org/officeDocument/2006/relationships/hyperlink" Target="https://meteor-uat.aihw.gov.au/content/455521" TargetMode="External" Id="Ra66570327e934460" /><Relationship Type="http://schemas.openxmlformats.org/officeDocument/2006/relationships/hyperlink" Target="https://meteor-uat.aihw.gov.au/content/270521" TargetMode="External" Id="Rcc3a5560aff04164" /><Relationship Type="http://schemas.openxmlformats.org/officeDocument/2006/relationships/hyperlink" Target="https://meteor-uat.aihw.gov.au/content/270526" TargetMode="External" Id="Rba8668d4f51d4fc1" /><Relationship Type="http://schemas.openxmlformats.org/officeDocument/2006/relationships/hyperlink" Target="https://meteor-uat.aihw.gov.au/content/270525" TargetMode="External" Id="R38d04d2199a34b96" /><Relationship Type="http://schemas.openxmlformats.org/officeDocument/2006/relationships/hyperlink" Target="https://meteor-uat.aihw.gov.au/content/270527" TargetMode="External" Id="R4277fcde7ac4475a" /><Relationship Type="http://schemas.openxmlformats.org/officeDocument/2006/relationships/hyperlink" Target="https://meteor-uat.aihw.gov.au/content/270522" TargetMode="External" Id="Ra6a17094e3fa4f9c" /><Relationship Type="http://schemas.openxmlformats.org/officeDocument/2006/relationships/hyperlink" Target="https://meteor-uat.aihw.gov.au/content/270528" TargetMode="External" Id="Rd06d5d4efd114b94" /><Relationship Type="http://schemas.openxmlformats.org/officeDocument/2006/relationships/hyperlink" Target="https://meteor-uat.aihw.gov.au/content/269968" TargetMode="External" Id="Racabbead1f7241fa" /><Relationship Type="http://schemas.openxmlformats.org/officeDocument/2006/relationships/hyperlink" Target="https://meteor-uat.aihw.gov.au/content/270523" TargetMode="External" Id="Rd9e318b7154546d9" /><Relationship Type="http://schemas.openxmlformats.org/officeDocument/2006/relationships/hyperlink" Target="https://meteor-uat.aihw.gov.au/content/270524" TargetMode="External" Id="Rb8c727097f9740a7" /><Relationship Type="http://schemas.openxmlformats.org/officeDocument/2006/relationships/hyperlink" Target="https://meteor-uat.aihw.gov.au/content/270520" TargetMode="External" Id="R0a0075e1066147a2" /><Relationship Type="http://schemas.openxmlformats.org/officeDocument/2006/relationships/hyperlink" Target="https://meteor-uat.aihw.gov.au/content/270517" TargetMode="External" Id="R374da845a4cd45e8" /><Relationship Type="http://schemas.openxmlformats.org/officeDocument/2006/relationships/hyperlink" Target="https://meteor-uat.aihw.gov.au/content/270519" TargetMode="External" Id="R73446549daed464a" /><Relationship Type="http://schemas.openxmlformats.org/officeDocument/2006/relationships/hyperlink" Target="https://meteor-uat.aihw.gov.au/content/269966" TargetMode="External" Id="R0f48738b814f4eef" /><Relationship Type="http://schemas.openxmlformats.org/officeDocument/2006/relationships/hyperlink" Target="https://meteor-uat.aihw.gov.au/content/270516" TargetMode="External" Id="Rb2600b2d6ec746b4" /><Relationship Type="http://schemas.openxmlformats.org/officeDocument/2006/relationships/hyperlink" Target="https://meteor-uat.aihw.gov.au/content/270518" TargetMode="External" Id="R614d12614c1c4ac8" /><Relationship Type="http://schemas.openxmlformats.org/officeDocument/2006/relationships/hyperlink" Target="https://meteor-uat.aihw.gov.au/content/269969" TargetMode="External" Id="R0d92ecec6c0e47bd" /><Relationship Type="http://schemas.openxmlformats.org/officeDocument/2006/relationships/hyperlink" Target="https://meteor-uat.aihw.gov.au/content/270531" TargetMode="External" Id="Rb806a7e65483458e" /><Relationship Type="http://schemas.openxmlformats.org/officeDocument/2006/relationships/hyperlink" Target="https://meteor-uat.aihw.gov.au/content/270534" TargetMode="External" Id="R66cad35e952a4022" /><Relationship Type="http://schemas.openxmlformats.org/officeDocument/2006/relationships/hyperlink" Target="https://meteor-uat.aihw.gov.au/content/270529" TargetMode="External" Id="R4540a378a2544985" /><Relationship Type="http://schemas.openxmlformats.org/officeDocument/2006/relationships/hyperlink" Target="https://meteor-uat.aihw.gov.au/content/270535" TargetMode="External" Id="R731bb3d1c7b34073" /><Relationship Type="http://schemas.openxmlformats.org/officeDocument/2006/relationships/hyperlink" Target="https://meteor-uat.aihw.gov.au/content/270536" TargetMode="External" Id="Rffdd8cfee7454a59" /><Relationship Type="http://schemas.openxmlformats.org/officeDocument/2006/relationships/hyperlink" Target="https://meteor-uat.aihw.gov.au/content/270530" TargetMode="External" Id="Ra180869d6fcd461a" /><Relationship Type="http://schemas.openxmlformats.org/officeDocument/2006/relationships/hyperlink" Target="https://meteor-uat.aihw.gov.au/content/270533" TargetMode="External" Id="Re99a869bbd844c18" /><Relationship Type="http://schemas.openxmlformats.org/officeDocument/2006/relationships/hyperlink" Target="https://meteor-uat.aihw.gov.au/content/270532" TargetMode="External" Id="Rb755a556dd2e4e4c" /><Relationship Type="http://schemas.openxmlformats.org/officeDocument/2006/relationships/hyperlink" Target="https://meteor-uat.aihw.gov.au/content/270479" TargetMode="External" Id="R0ca79e10f39d4a02" /><Relationship Type="http://schemas.openxmlformats.org/officeDocument/2006/relationships/hyperlink" Target="https://meteor-uat.aihw.gov.au/content/270480" TargetMode="External" Id="Rd9978428ea3b45ea" /><Relationship Type="http://schemas.openxmlformats.org/officeDocument/2006/relationships/hyperlink" Target="https://meteor-uat.aihw.gov.au/content/270491" TargetMode="External" Id="R557b885491334be3" /><Relationship Type="http://schemas.openxmlformats.org/officeDocument/2006/relationships/hyperlink" Target="https://meteor-uat.aihw.gov.au/content/270488" TargetMode="External" Id="R1dd26ecd7e494057" /><Relationship Type="http://schemas.openxmlformats.org/officeDocument/2006/relationships/hyperlink" Target="https://meteor-uat.aihw.gov.au/content/270368" TargetMode="External" Id="Rcfec48478aa0437a" /><Relationship Type="http://schemas.openxmlformats.org/officeDocument/2006/relationships/hyperlink" Target="https://meteor-uat.aihw.gov.au/content/270482" TargetMode="External" Id="R5230f6051a6f4821" /><Relationship Type="http://schemas.openxmlformats.org/officeDocument/2006/relationships/hyperlink" Target="https://meteor-uat.aihw.gov.au/content/270485" TargetMode="External" Id="R0de0c8aafb1441f8" /><Relationship Type="http://schemas.openxmlformats.org/officeDocument/2006/relationships/hyperlink" Target="https://meteor-uat.aihw.gov.au/content/270484" TargetMode="External" Id="R276b9a2fa93b4319" /><Relationship Type="http://schemas.openxmlformats.org/officeDocument/2006/relationships/hyperlink" Target="https://meteor-uat.aihw.gov.au/content/270490" TargetMode="External" Id="R0251fb9c4f224fae" /><Relationship Type="http://schemas.openxmlformats.org/officeDocument/2006/relationships/hyperlink" Target="https://meteor-uat.aihw.gov.au/content/270487" TargetMode="External" Id="R75442a2bea574b9c" /><Relationship Type="http://schemas.openxmlformats.org/officeDocument/2006/relationships/hyperlink" Target="https://meteor-uat.aihw.gov.au/content/270489" TargetMode="External" Id="R8e88390c99164399" /><Relationship Type="http://schemas.openxmlformats.org/officeDocument/2006/relationships/hyperlink" Target="https://meteor-uat.aihw.gov.au/content/270481" TargetMode="External" Id="R1cb8b14097eb4c52" /><Relationship Type="http://schemas.openxmlformats.org/officeDocument/2006/relationships/hyperlink" Target="https://meteor-uat.aihw.gov.au/content/270486" TargetMode="External" Id="R281061077e574ece" /><Relationship Type="http://schemas.openxmlformats.org/officeDocument/2006/relationships/hyperlink" Target="https://meteor-uat.aihw.gov.au/content/270483" TargetMode="External" Id="R0f71c313165a4ea9" /><Relationship Type="http://schemas.openxmlformats.org/officeDocument/2006/relationships/hyperlink" Target="https://meteor-uat.aihw.gov.au/content/270508" TargetMode="External" Id="R01100fd56225498d" /><Relationship Type="http://schemas.openxmlformats.org/officeDocument/2006/relationships/hyperlink" Target="https://meteor-uat.aihw.gov.au/content/270502" TargetMode="External" Id="R016823658ce64c57" /><Relationship Type="http://schemas.openxmlformats.org/officeDocument/2006/relationships/hyperlink" Target="https://meteor-uat.aihw.gov.au/content/270395" TargetMode="External" Id="R72c162ebea96466c" /><Relationship Type="http://schemas.openxmlformats.org/officeDocument/2006/relationships/hyperlink" Target="https://meteor-uat.aihw.gov.au/content/270513" TargetMode="External" Id="Rf85c40281b2945a0" /><Relationship Type="http://schemas.openxmlformats.org/officeDocument/2006/relationships/hyperlink" Target="https://meteor-uat.aihw.gov.au/content/270503" TargetMode="External" Id="R8ad96f27c0594c93" /><Relationship Type="http://schemas.openxmlformats.org/officeDocument/2006/relationships/hyperlink" Target="https://meteor-uat.aihw.gov.au/content/270512" TargetMode="External" Id="R7462960cbf9645ac" /><Relationship Type="http://schemas.openxmlformats.org/officeDocument/2006/relationships/hyperlink" Target="https://meteor-uat.aihw.gov.au/content/270506" TargetMode="External" Id="R4baabbcc101f4429" /><Relationship Type="http://schemas.openxmlformats.org/officeDocument/2006/relationships/hyperlink" Target="https://meteor-uat.aihw.gov.au/content/270507" TargetMode="External" Id="Rd24b822a944e4f98" /><Relationship Type="http://schemas.openxmlformats.org/officeDocument/2006/relationships/hyperlink" Target="https://meteor-uat.aihw.gov.au/content/270504" TargetMode="External" Id="R3d8fd672f9e94fe8" /><Relationship Type="http://schemas.openxmlformats.org/officeDocument/2006/relationships/hyperlink" Target="https://meteor-uat.aihw.gov.au/content/270511" TargetMode="External" Id="R034e2b6d71c04578" /><Relationship Type="http://schemas.openxmlformats.org/officeDocument/2006/relationships/hyperlink" Target="https://meteor-uat.aihw.gov.au/content/270514" TargetMode="External" Id="Ra19b41e3f8e14c7e" /><Relationship Type="http://schemas.openxmlformats.org/officeDocument/2006/relationships/hyperlink" Target="https://meteor-uat.aihw.gov.au/content/270505" TargetMode="External" Id="R766b10f290a14a67" /><Relationship Type="http://schemas.openxmlformats.org/officeDocument/2006/relationships/hyperlink" Target="https://meteor-uat.aihw.gov.au/content/270509" TargetMode="External" Id="Re4a2d163890d4ff7" /><Relationship Type="http://schemas.openxmlformats.org/officeDocument/2006/relationships/hyperlink" Target="https://meteor-uat.aihw.gov.au/content/270510" TargetMode="External" Id="R45f44ca15a594c7b" /><Relationship Type="http://schemas.openxmlformats.org/officeDocument/2006/relationships/hyperlink" Target="https://meteor-uat.aihw.gov.au/content/269973" TargetMode="External" Id="R408546a6195f42f5" /><Relationship Type="http://schemas.openxmlformats.org/officeDocument/2006/relationships/hyperlink" Target="https://meteor-uat.aihw.gov.au/content/270107" TargetMode="External" Id="R4809de95da2c48dc" /><Relationship Type="http://schemas.openxmlformats.org/officeDocument/2006/relationships/hyperlink" Target="https://meteor-uat.aihw.gov.au/content/270279" TargetMode="External" Id="Rc988a44efbee4a47" /><Relationship Type="http://schemas.openxmlformats.org/officeDocument/2006/relationships/hyperlink" Target="https://meteor-uat.aihw.gov.au/content/270283" TargetMode="External" Id="Rde197d0cda2644d2" /><Relationship Type="http://schemas.openxmlformats.org/officeDocument/2006/relationships/hyperlink" Target="https://meteor-uat.aihw.gov.au/content/270282" TargetMode="External" Id="Redf12bf755834471" /><Relationship Type="http://schemas.openxmlformats.org/officeDocument/2006/relationships/hyperlink" Target="https://meteor-uat.aihw.gov.au/content/270284" TargetMode="External" Id="R9d1c8c0611f147e3" /><Relationship Type="http://schemas.openxmlformats.org/officeDocument/2006/relationships/hyperlink" Target="https://meteor-uat.aihw.gov.au/content/270294" TargetMode="External" Id="R158df8781127461e" /><Relationship Type="http://schemas.openxmlformats.org/officeDocument/2006/relationships/hyperlink" Target="https://meteor-uat.aihw.gov.au/content/270293" TargetMode="External" Id="R63c4259ce22449e8" /><Relationship Type="http://schemas.openxmlformats.org/officeDocument/2006/relationships/hyperlink" Target="https://meteor-uat.aihw.gov.au/content/270295" TargetMode="External" Id="R7010898d478b4ef7" /><Relationship Type="http://schemas.openxmlformats.org/officeDocument/2006/relationships/hyperlink" Target="https://meteor-uat.aihw.gov.au/content/270291" TargetMode="External" Id="R0c6cd478d5d64f5a" /><Relationship Type="http://schemas.openxmlformats.org/officeDocument/2006/relationships/hyperlink" Target="https://meteor-uat.aihw.gov.au/content/270292" TargetMode="External" Id="Rec6d5b26bdfc4ad3" /><Relationship Type="http://schemas.openxmlformats.org/officeDocument/2006/relationships/hyperlink" Target="https://meteor-uat.aihw.gov.au/content/270186" TargetMode="External" Id="R14732e35b0a241a1" /><Relationship Type="http://schemas.openxmlformats.org/officeDocument/2006/relationships/hyperlink" Target="https://meteor-uat.aihw.gov.au/content/270358" TargetMode="External" Id="R398c8247729f4365" /><Relationship Type="http://schemas.openxmlformats.org/officeDocument/2006/relationships/hyperlink" Target="https://meteor-uat.aihw.gov.au/content/270126" TargetMode="External" Id="R8e2453b582c24574" /><Relationship Type="http://schemas.openxmlformats.org/officeDocument/2006/relationships/hyperlink" Target="https://meteor-uat.aihw.gov.au/content/270048" TargetMode="External" Id="R85f472c68b0e49b9" /><Relationship Type="http://schemas.openxmlformats.org/officeDocument/2006/relationships/hyperlink" Target="https://meteor-uat.aihw.gov.au/content/269970" TargetMode="External" Id="R6da091ae4a034255" /><Relationship Type="http://schemas.openxmlformats.org/officeDocument/2006/relationships/hyperlink" Target="https://meteor-uat.aihw.gov.au/content/270275" TargetMode="External" Id="Rf89def707d0c4414" /><Relationship Type="http://schemas.openxmlformats.org/officeDocument/2006/relationships/hyperlink" Target="https://meteor-uat.aihw.gov.au/content/270274" TargetMode="External" Id="R5e146f896c1342e3" /><Relationship Type="http://schemas.openxmlformats.org/officeDocument/2006/relationships/hyperlink" Target="https://meteor-uat.aihw.gov.au/content/270276" TargetMode="External" Id="Rfbc96e41d3144ccf" /><Relationship Type="http://schemas.openxmlformats.org/officeDocument/2006/relationships/hyperlink" Target="https://meteor-uat.aihw.gov.au/content/270270" TargetMode="External" Id="Rbd38018d010d4bcb" /><Relationship Type="http://schemas.openxmlformats.org/officeDocument/2006/relationships/hyperlink" Target="https://meteor-uat.aihw.gov.au/content/270470" TargetMode="External" Id="R0fbccc6abf354149" /><Relationship Type="http://schemas.openxmlformats.org/officeDocument/2006/relationships/hyperlink" Target="https://meteor-uat.aihw.gov.au/content/270273" TargetMode="External" Id="Rf7c6c437dd6849b5" /><Relationship Type="http://schemas.openxmlformats.org/officeDocument/2006/relationships/hyperlink" Target="https://meteor-uat.aihw.gov.au/content/270269" TargetMode="External" Id="Rf2273210079445d0" /><Relationship Type="http://schemas.openxmlformats.org/officeDocument/2006/relationships/hyperlink" Target="https://meteor-uat.aihw.gov.au/content/270265" TargetMode="External" Id="R93d22746027c4565" /><Relationship Type="http://schemas.openxmlformats.org/officeDocument/2006/relationships/hyperlink" Target="https://meteor-uat.aihw.gov.au/content/270271" TargetMode="External" Id="R70c0dc4d59d5426c" /><Relationship Type="http://schemas.openxmlformats.org/officeDocument/2006/relationships/hyperlink" Target="https://meteor-uat.aihw.gov.au/content/270272" TargetMode="External" Id="Rb7a1395ecc7d4cba" /><Relationship Type="http://schemas.openxmlformats.org/officeDocument/2006/relationships/hyperlink" Target="https://meteor-uat.aihw.gov.au/content/270371" TargetMode="External" Id="Rd4adef6efcfd46d9" /><Relationship Type="http://schemas.openxmlformats.org/officeDocument/2006/relationships/hyperlink" Target="https://meteor-uat.aihw.gov.au/content/270049" TargetMode="External" Id="R8b0519a0a67346c8" /><Relationship Type="http://schemas.openxmlformats.org/officeDocument/2006/relationships/hyperlink" Target="https://meteor-uat.aihw.gov.au/content/364799" TargetMode="External" Id="R5c333ec4d4a04d24" /><Relationship Type="http://schemas.openxmlformats.org/officeDocument/2006/relationships/hyperlink" Target="https://meteor-uat.aihw.gov.au/content/364797" TargetMode="External" Id="R5585922237d34a47" /><Relationship Type="http://schemas.openxmlformats.org/officeDocument/2006/relationships/hyperlink" Target="https://meteor-uat.aihw.gov.au/content/364805" TargetMode="External" Id="R4d873061324346a3" /><Relationship Type="http://schemas.openxmlformats.org/officeDocument/2006/relationships/hyperlink" Target="https://meteor-uat.aihw.gov.au/content/270448" TargetMode="External" Id="Rb30f15b2deec4d28" /><Relationship Type="http://schemas.openxmlformats.org/officeDocument/2006/relationships/hyperlink" Target="https://meteor-uat.aihw.gov.au/content/270435" TargetMode="External" Id="R0b41d8aa39004a77" /><Relationship Type="http://schemas.openxmlformats.org/officeDocument/2006/relationships/hyperlink" Target="https://meteor-uat.aihw.gov.au/content/270432" TargetMode="External" Id="R870d88bb80ff4427" /><Relationship Type="http://schemas.openxmlformats.org/officeDocument/2006/relationships/hyperlink" Target="https://meteor-uat.aihw.gov.au/content/270431" TargetMode="External" Id="Rcdcf9f305c574d60" /><Relationship Type="http://schemas.openxmlformats.org/officeDocument/2006/relationships/hyperlink" Target="https://meteor-uat.aihw.gov.au/content/308862" TargetMode="External" Id="R798c0a5b77674f9c" /><Relationship Type="http://schemas.openxmlformats.org/officeDocument/2006/relationships/hyperlink" Target="https://meteor-uat.aihw.gov.au/content/270438" TargetMode="External" Id="R6af182e25ffd4340" /><Relationship Type="http://schemas.openxmlformats.org/officeDocument/2006/relationships/hyperlink" Target="https://meteor-uat.aihw.gov.au/content/270434" TargetMode="External" Id="R416a6f30fb3c478f" /><Relationship Type="http://schemas.openxmlformats.org/officeDocument/2006/relationships/hyperlink" Target="https://meteor-uat.aihw.gov.au/content/270444" TargetMode="External" Id="R5668bcd1dc0942ab" /><Relationship Type="http://schemas.openxmlformats.org/officeDocument/2006/relationships/hyperlink" Target="https://meteor-uat.aihw.gov.au/content/270442" TargetMode="External" Id="R6f6d623eb12449d5" /><Relationship Type="http://schemas.openxmlformats.org/officeDocument/2006/relationships/hyperlink" Target="https://meteor-uat.aihw.gov.au/content/270433" TargetMode="External" Id="Rbe4124b156104176" /><Relationship Type="http://schemas.openxmlformats.org/officeDocument/2006/relationships/hyperlink" Target="https://meteor-uat.aihw.gov.au/content/270449" TargetMode="External" Id="R9919e0b9f1824426" /><Relationship Type="http://schemas.openxmlformats.org/officeDocument/2006/relationships/hyperlink" Target="https://meteor-uat.aihw.gov.au/content/270430" TargetMode="External" Id="R7dc3ca1807b340af" /><Relationship Type="http://schemas.openxmlformats.org/officeDocument/2006/relationships/hyperlink" Target="https://meteor-uat.aihw.gov.au/content/270429" TargetMode="External" Id="Rfc07814960f24cf1" /><Relationship Type="http://schemas.openxmlformats.org/officeDocument/2006/relationships/hyperlink" Target="https://meteor-uat.aihw.gov.au/content/308866" TargetMode="External" Id="R8e5c3f03328944a4" /><Relationship Type="http://schemas.openxmlformats.org/officeDocument/2006/relationships/hyperlink" Target="https://meteor-uat.aihw.gov.au/content/270427" TargetMode="External" Id="R420725022dcd4172" /><Relationship Type="http://schemas.openxmlformats.org/officeDocument/2006/relationships/hyperlink" Target="https://meteor-uat.aihw.gov.au/content/270447" TargetMode="External" Id="Rb4d67102cf4d449c" /><Relationship Type="http://schemas.openxmlformats.org/officeDocument/2006/relationships/hyperlink" Target="https://meteor-uat.aihw.gov.au/content/270426" TargetMode="External" Id="R780be3ef34514a15" /><Relationship Type="http://schemas.openxmlformats.org/officeDocument/2006/relationships/hyperlink" Target="https://meteor-uat.aihw.gov.au/content/270441" TargetMode="External" Id="R1d5a8850fceb4bd3" /><Relationship Type="http://schemas.openxmlformats.org/officeDocument/2006/relationships/hyperlink" Target="https://meteor-uat.aihw.gov.au/content/308868" TargetMode="External" Id="R723a6f02bfd44b16" /><Relationship Type="http://schemas.openxmlformats.org/officeDocument/2006/relationships/hyperlink" Target="https://meteor-uat.aihw.gov.au/content/270437" TargetMode="External" Id="R0a799a6adf814f25" /><Relationship Type="http://schemas.openxmlformats.org/officeDocument/2006/relationships/hyperlink" Target="https://meteor-uat.aihw.gov.au/content/270439" TargetMode="External" Id="Rbcc34cc8b0c045dd" /><Relationship Type="http://schemas.openxmlformats.org/officeDocument/2006/relationships/hyperlink" Target="https://meteor-uat.aihw.gov.au/content/270436" TargetMode="External" Id="Ra6b83e1d2da54f0a" /><Relationship Type="http://schemas.openxmlformats.org/officeDocument/2006/relationships/hyperlink" Target="https://meteor-uat.aihw.gov.au/content/270446" TargetMode="External" Id="R77d72b8a960243ef" /><Relationship Type="http://schemas.openxmlformats.org/officeDocument/2006/relationships/hyperlink" Target="https://meteor-uat.aihw.gov.au/content/270428" TargetMode="External" Id="R11715d57d70e44f3" /><Relationship Type="http://schemas.openxmlformats.org/officeDocument/2006/relationships/hyperlink" Target="https://meteor-uat.aihw.gov.au/content/270150" TargetMode="External" Id="R96bf59d87a774ab3" /><Relationship Type="http://schemas.openxmlformats.org/officeDocument/2006/relationships/hyperlink" Target="https://meteor-uat.aihw.gov.au/content/270440" TargetMode="External" Id="R493dca7c61734f4e" /><Relationship Type="http://schemas.openxmlformats.org/officeDocument/2006/relationships/hyperlink" Target="https://meteor-uat.aihw.gov.au/content/308870" TargetMode="External" Id="R8e6db09f8bcc40e3" /><Relationship Type="http://schemas.openxmlformats.org/officeDocument/2006/relationships/hyperlink" Target="https://meteor-uat.aihw.gov.au/content/270425" TargetMode="External" Id="R16114031076c46b5" /><Relationship Type="http://schemas.openxmlformats.org/officeDocument/2006/relationships/hyperlink" Target="https://meteor-uat.aihw.gov.au/content/270450" TargetMode="External" Id="R2272a604cbf44544" /><Relationship Type="http://schemas.openxmlformats.org/officeDocument/2006/relationships/hyperlink" Target="https://meteor-uat.aihw.gov.au/content/308864" TargetMode="External" Id="R804caca3f697409c" /><Relationship Type="http://schemas.openxmlformats.org/officeDocument/2006/relationships/hyperlink" Target="https://meteor-uat.aihw.gov.au/content/270445" TargetMode="External" Id="Ra44d8f6de6434f99" /><Relationship Type="http://schemas.openxmlformats.org/officeDocument/2006/relationships/hyperlink" Target="https://meteor-uat.aihw.gov.au/content/270424" TargetMode="External" Id="Ra8964e1b89804df7" /><Relationship Type="http://schemas.openxmlformats.org/officeDocument/2006/relationships/hyperlink" Target="https://meteor-uat.aihw.gov.au/content/270148" TargetMode="External" Id="Rbfebb20697634852" /></Relationships>
</file>

<file path=word/_rels/header1.xml.rels>&#65279;<?xml version="1.0" encoding="utf-8"?><Relationships xmlns="http://schemas.openxmlformats.org/package/2006/relationships"><Relationship Type="http://schemas.openxmlformats.org/officeDocument/2006/relationships/image" Target="/media/image.png" Id="R947908c0b3024ced" /></Relationships>
</file>