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05b1c2e69c4a9e" /></Relationships>
</file>

<file path=word/document.xml><?xml version="1.0" encoding="utf-8"?>
<w:document xmlns:r="http://schemas.openxmlformats.org/officeDocument/2006/relationships" xmlns:w="http://schemas.openxmlformats.org/wordprocessingml/2006/main">
  <w:body>
    <w:p>
      <w:pPr>
        <w:pStyle w:val="Title"/>
      </w:pPr>
      <w:r>
        <w:t>Service provider organisation—net recurrent housing expenses,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organisation—net recurrent housing expenses,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net expenditure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433453009436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service provider organisation to maintain the operation of government funded housing stock, expressed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50e564be724daf">
              <w:r>
                <w:rPr>
                  <w:rStyle w:val="Hyperlink"/>
                </w:rPr>
                <w:t xml:space="preserve">Service provider organisation—net recurrent housing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05353ec2c4ad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service provider organisation to maintain the operation of government funded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71ff5366a9495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a9f4621f2a4631">
              <w:r>
                <w:rPr>
                  <w:rStyle w:val="Hyperlink"/>
                </w:rPr>
                <w:t xml:space="preserve">Net recurrent housing expenses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0c8d09abd14319">
              <w:r>
                <w:rPr>
                  <w:rStyle w:val="Hyperlink"/>
                </w:rPr>
                <w:t xml:space="preserve">Total Australian currency N[N(8)].NN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0122a22c1419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Please see the DSS specific information for each collection for a list of inclusions and exclusions of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Indigenous community housing 2009-10 collection manual.</w:t>
            </w:r>
          </w:p>
          <w:p>
            <w:pPr/>
            <w:r>
              <w:rPr>
                <w:rStyle w:val="row-content-rich-text"/>
              </w:rPr>
              <w:t xml:space="preserve">AIHW. Mainstream community housing 2009-10 collection manual.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a44579e6814b0e">
              <w:r>
                <w:rPr>
                  <w:rStyle w:val="Hyperlink"/>
                </w:rPr>
                <w:t xml:space="preserve">Community Housing DSS 2018-</w:t>
              </w:r>
            </w:hyperlink>
          </w:p>
          <w:p>
            <w:pPr>
              <w:pStyle w:val="registration-status"/>
              <w:spacing w:before="0" w:after="0"/>
            </w:pPr>
            <w:hyperlink w:history="true" r:id="Rfec5970d8daf440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records the net recurrent cost to the service provider organisation.</w:t>
            </w:r>
          </w:p>
          <w:p>
            <w:r>
              <w:rPr>
                <w:rStyle w:val="row-content"/>
              </w:rPr>
              <w:t xml:space="preserve"> </w:t>
            </w:r>
          </w:p>
          <w:p>
            <w:r>
              <w:rPr>
                <w:rStyle w:val="row-content"/>
              </w:rPr>
              <w:t xml:space="preserve">Record unknown values as ‘U’.</w:t>
            </w:r>
          </w:p>
          <w:p>
            <w:r>
              <w:rPr>
                <w:rStyle w:val="row-content"/>
                <w:b/>
              </w:rPr>
              <w:t xml:space="preserve">Includes:</w:t>
            </w:r>
          </w:p>
          <w:p>
            <w:r>
              <w:rPr>
                <w:rStyle w:val="row-content"/>
                <w:i/>
              </w:rPr>
              <w:t xml:space="preserve">Administration costs:</w:t>
            </w:r>
          </w:p>
          <w:p>
            <w:pPr>
              <w:pStyle w:val="ListParagraph"/>
              <w:numPr>
                <w:ilvl w:val="0"/>
                <w:numId w:val="2"/>
              </w:numPr>
            </w:pPr>
            <w:r>
              <w:rPr>
                <w:rStyle w:val="row-content"/>
              </w:rPr>
              <w:t xml:space="preserve">Employee expenses, including:</w:t>
            </w:r>
            <w:r>
              <w:br/>
            </w:r>
            <w:r>
              <w:rPr>
                <w:rStyle w:val="row-content"/>
              </w:rPr>
              <w:t xml:space="preserve">        • wages and salaries</w:t>
            </w:r>
            <w:r>
              <w:br/>
            </w:r>
            <w:r>
              <w:rPr>
                <w:rStyle w:val="row-content"/>
              </w:rPr>
              <w:t xml:space="preserve">        • payroll tax</w:t>
            </w:r>
            <w:r>
              <w:br/>
            </w:r>
            <w:r>
              <w:rPr>
                <w:rStyle w:val="row-content"/>
              </w:rPr>
              <w:t xml:space="preserve">        • superannuation</w:t>
            </w:r>
            <w:r>
              <w:br/>
            </w:r>
            <w:r>
              <w:rPr>
                <w:rStyle w:val="row-content"/>
              </w:rPr>
              <w:t xml:space="preserve">        • compensation</w:t>
            </w:r>
            <w:r>
              <w:br/>
            </w:r>
            <w:r>
              <w:rPr>
                <w:rStyle w:val="row-content"/>
              </w:rPr>
              <w:t xml:space="preserve">        • accrued leave</w:t>
            </w:r>
            <w:r>
              <w:br/>
            </w:r>
            <w:r>
              <w:rPr>
                <w:rStyle w:val="row-content"/>
              </w:rPr>
              <w:t xml:space="preserve">        • training</w:t>
            </w:r>
          </w:p>
          <w:p>
            <w:pPr>
              <w:pStyle w:val="ListParagraph"/>
              <w:numPr>
                <w:ilvl w:val="0"/>
                <w:numId w:val="2"/>
              </w:numPr>
            </w:pPr>
            <w:r>
              <w:rPr>
                <w:rStyle w:val="row-content"/>
              </w:rPr>
              <w:t xml:space="preserve">Supplies and service expenses, including:</w:t>
            </w:r>
            <w:r>
              <w:br/>
            </w:r>
            <w:r>
              <w:rPr>
                <w:rStyle w:val="row-content"/>
              </w:rPr>
              <w:t xml:space="preserve">        • stationery</w:t>
            </w:r>
            <w:r>
              <w:br/>
            </w:r>
            <w:r>
              <w:rPr>
                <w:rStyle w:val="row-content"/>
              </w:rPr>
              <w:t xml:space="preserve">        • postage</w:t>
            </w:r>
            <w:r>
              <w:br/>
            </w:r>
            <w:r>
              <w:rPr>
                <w:rStyle w:val="row-content"/>
              </w:rPr>
              <w:t xml:space="preserve">        • telephone</w:t>
            </w:r>
            <w:r>
              <w:br/>
            </w:r>
            <w:r>
              <w:rPr>
                <w:rStyle w:val="row-content"/>
              </w:rPr>
              <w:t xml:space="preserve">        • vehicle</w:t>
            </w:r>
            <w:r>
              <w:br/>
            </w:r>
            <w:r>
              <w:rPr>
                <w:rStyle w:val="row-content"/>
              </w:rPr>
              <w:t xml:space="preserve">        • office equipment</w:t>
            </w:r>
            <w:r>
              <w:br/>
            </w:r>
            <w:r>
              <w:rPr>
                <w:rStyle w:val="row-content"/>
              </w:rPr>
              <w:t xml:space="preserve">        • information technology</w:t>
            </w:r>
            <w:r>
              <w:br/>
            </w:r>
            <w:r>
              <w:rPr>
                <w:rStyle w:val="row-content"/>
              </w:rPr>
              <w:t xml:space="preserve">        • auditing and accounting</w:t>
            </w:r>
            <w:r>
              <w:br/>
            </w:r>
            <w:r>
              <w:rPr>
                <w:rStyle w:val="row-content"/>
              </w:rPr>
              <w:t xml:space="preserve">        • insurance;</w:t>
            </w:r>
          </w:p>
          <w:p>
            <w:pPr>
              <w:pStyle w:val="ListParagraph"/>
              <w:numPr>
                <w:ilvl w:val="0"/>
                <w:numId w:val="2"/>
              </w:numPr>
            </w:pPr>
            <w:r>
              <w:rPr>
                <w:rStyle w:val="row-content"/>
              </w:rPr>
              <w:t xml:space="preserve">Office rent;</w:t>
            </w:r>
          </w:p>
          <w:p>
            <w:pPr>
              <w:pStyle w:val="ListParagraph"/>
              <w:numPr>
                <w:ilvl w:val="0"/>
                <w:numId w:val="2"/>
              </w:numPr>
            </w:pPr>
            <w:r>
              <w:rPr>
                <w:rStyle w:val="row-content"/>
              </w:rPr>
              <w:t xml:space="preserve">General accounting and personnel function costs (for example, training costs or levies paid to community housing training authority or peak body);</w:t>
            </w:r>
          </w:p>
          <w:p>
            <w:pPr>
              <w:pStyle w:val="ListParagraph"/>
              <w:numPr>
                <w:ilvl w:val="0"/>
                <w:numId w:val="2"/>
              </w:numPr>
            </w:pPr>
            <w:r>
              <w:rPr>
                <w:rStyle w:val="row-content"/>
              </w:rPr>
              <w:t xml:space="preserve">Grants and subsidies (excluding rental subsidies);</w:t>
            </w:r>
          </w:p>
          <w:p>
            <w:pPr>
              <w:pStyle w:val="ListParagraph"/>
              <w:numPr>
                <w:ilvl w:val="0"/>
                <w:numId w:val="2"/>
              </w:numPr>
            </w:pPr>
            <w:r>
              <w:rPr>
                <w:rStyle w:val="row-content"/>
              </w:rPr>
              <w:t xml:space="preserve">Contracted community housing management services;</w:t>
            </w:r>
          </w:p>
          <w:p>
            <w:r>
              <w:rPr>
                <w:rStyle w:val="row-content"/>
                <w:i/>
              </w:rPr>
              <w:t xml:space="preserve">Operational costs:</w:t>
            </w:r>
          </w:p>
          <w:p>
            <w:pPr>
              <w:pStyle w:val="ListParagraph"/>
              <w:numPr>
                <w:ilvl w:val="0"/>
                <w:numId w:val="3"/>
              </w:numPr>
            </w:pPr>
            <w:r>
              <w:rPr>
                <w:rStyle w:val="row-content"/>
              </w:rPr>
              <w:t xml:space="preserve">Repairs and maintenance:</w:t>
            </w:r>
            <w:r>
              <w:br/>
            </w:r>
            <w:r>
              <w:rPr>
                <w:rStyle w:val="row-content"/>
              </w:rPr>
              <w:t xml:space="preserve">        • day-to-day maintenance, reflecting general wear and tear</w:t>
            </w:r>
            <w:r>
              <w:br/>
            </w:r>
            <w:r>
              <w:rPr>
                <w:rStyle w:val="row-content"/>
              </w:rPr>
              <w:t xml:space="preserve">        • cyclical maintenance, which is maintenance performed as part of a planned maintenance program</w:t>
            </w:r>
            <w:r>
              <w:br/>
            </w:r>
            <w:r>
              <w:rPr>
                <w:rStyle w:val="row-content"/>
              </w:rPr>
              <w:t xml:space="preserve">        • other maintenance, for example, repairs due to vandalism.</w:t>
            </w:r>
          </w:p>
          <w:p>
            <w:pPr>
              <w:pStyle w:val="ListParagraph"/>
              <w:numPr>
                <w:ilvl w:val="0"/>
                <w:numId w:val="3"/>
              </w:numPr>
            </w:pPr>
            <w:r>
              <w:rPr>
                <w:rStyle w:val="row-content"/>
              </w:rPr>
              <w:t xml:space="preserve">Strata-title or body corporate charges where the provide is responsible for payment;</w:t>
            </w:r>
          </w:p>
          <w:p>
            <w:pPr>
              <w:pStyle w:val="ListParagraph"/>
              <w:numPr>
                <w:ilvl w:val="0"/>
                <w:numId w:val="3"/>
              </w:numPr>
            </w:pPr>
            <w:r>
              <w:rPr>
                <w:rStyle w:val="row-content"/>
              </w:rPr>
              <w:t xml:space="preserve">Rates (for example, water or council/shire) where the provider is responsible for payment;</w:t>
            </w:r>
          </w:p>
          <w:p>
            <w:pPr>
              <w:pStyle w:val="ListParagraph"/>
              <w:numPr>
                <w:ilvl w:val="0"/>
                <w:numId w:val="3"/>
              </w:numPr>
            </w:pPr>
            <w:r>
              <w:rPr>
                <w:rStyle w:val="row-content"/>
              </w:rPr>
              <w:t xml:space="preserve">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3"/>
              </w:numPr>
            </w:pPr>
            <w:r>
              <w:rPr>
                <w:rStyle w:val="row-content"/>
              </w:rPr>
              <w:t xml:space="preserve">Market rent paid (such as from head leasing)</w:t>
            </w:r>
          </w:p>
          <w:p>
            <w:pPr>
              <w:pStyle w:val="ListParagraph"/>
              <w:numPr>
                <w:ilvl w:val="0"/>
                <w:numId w:val="3"/>
              </w:numPr>
            </w:pPr>
            <w:r>
              <w:rPr>
                <w:rStyle w:val="row-content"/>
              </w:rPr>
              <w:t xml:space="preserve">Interest expense (such as interest on loans).</w:t>
            </w:r>
          </w:p>
          <w:p>
            <w:r>
              <w:rPr>
                <w:rStyle w:val="row-content"/>
                <w:b/>
              </w:rPr>
              <w:t xml:space="preserve">Excludes: </w:t>
            </w:r>
          </w:p>
          <w:p>
            <w:pPr>
              <w:pStyle w:val="ListParagraph"/>
              <w:numPr>
                <w:ilvl w:val="0"/>
                <w:numId w:val="4"/>
              </w:numPr>
            </w:pPr>
            <w:r>
              <w:rPr>
                <w:rStyle w:val="row-content"/>
              </w:rPr>
              <w:t xml:space="preserve">Capital costs, for example:</w:t>
            </w:r>
            <w:r>
              <w:br/>
            </w:r>
            <w:r>
              <w:rPr>
                <w:rStyle w:val="row-content"/>
              </w:rPr>
              <w:t xml:space="preserve">        • the purchase of housing stock; and</w:t>
            </w:r>
            <w:r>
              <w:br/>
            </w:r>
            <w:r>
              <w:rPr>
                <w:rStyle w:val="row-content"/>
              </w:rPr>
              <w:t xml:space="preserve">        • construction costs.</w:t>
            </w:r>
          </w:p>
          <w:p>
            <w:r>
              <w:rPr>
                <w:rStyle w:val="row-content"/>
              </w:rPr>
              <w:t xml:space="preserve"> </w:t>
            </w:r>
          </w:p>
          <w:p>
            <w:r>
              <w:br/>
            </w:r>
            <w:r>
              <w:br/>
            </w:r>
            <w:hyperlink w:history="true" r:id="Rc992a76f73a94d80">
              <w:r>
                <w:rPr>
                  <w:rStyle w:val="Hyperlink"/>
                </w:rPr>
                <w:t xml:space="preserve">Indigenous Community Housing DSS 2018-</w:t>
              </w:r>
            </w:hyperlink>
          </w:p>
          <w:p>
            <w:pPr>
              <w:pStyle w:val="registration-status"/>
              <w:spacing w:before="0" w:after="0"/>
            </w:pPr>
            <w:hyperlink w:history="true" r:id="Rb9ab04074a124d4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records the net recurrent cost to the service provider organisation.</w:t>
            </w:r>
          </w:p>
          <w:p>
            <w:r>
              <w:rPr>
                <w:rStyle w:val="row-content"/>
              </w:rPr>
              <w:t xml:space="preserve"> </w:t>
            </w:r>
          </w:p>
          <w:p>
            <w:r>
              <w:rPr>
                <w:rStyle w:val="row-content"/>
              </w:rPr>
              <w:t xml:space="preserve">Record unknown values as ‘U’.</w:t>
            </w:r>
          </w:p>
          <w:p>
            <w:r>
              <w:rPr>
                <w:rStyle w:val="row-content"/>
              </w:rPr>
              <w:t xml:space="preserve">Record total recurrent housing expenses less the following non-cash expenses:</w:t>
            </w:r>
          </w:p>
          <w:p>
            <w:pPr>
              <w:pStyle w:val="ListParagraph"/>
              <w:numPr>
                <w:ilvl w:val="0"/>
                <w:numId w:val="5"/>
              </w:numPr>
            </w:pPr>
            <w:r>
              <w:rPr>
                <w:rStyle w:val="row-content"/>
              </w:rPr>
              <w:t xml:space="preserve">Grants and subsidies (excluding rental subsidies);</w:t>
            </w:r>
          </w:p>
          <w:p>
            <w:pPr>
              <w:pStyle w:val="ListParagraph"/>
              <w:numPr>
                <w:ilvl w:val="0"/>
                <w:numId w:val="5"/>
              </w:numPr>
            </w:pPr>
            <w:r>
              <w:rPr>
                <w:rStyle w:val="row-content"/>
              </w:rPr>
              <w:t xml:space="preserve">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5"/>
              </w:numPr>
            </w:pPr>
            <w:r>
              <w:rPr>
                <w:rStyle w:val="row-content"/>
              </w:rPr>
              <w:t xml:space="preserve">Loss on disposal of assets</w:t>
            </w:r>
          </w:p>
          <w:p>
            <w:pPr>
              <w:pStyle w:val="ListParagraph"/>
              <w:numPr>
                <w:ilvl w:val="0"/>
                <w:numId w:val="5"/>
              </w:numPr>
            </w:pPr>
            <w:r>
              <w:rPr>
                <w:rStyle w:val="row-content"/>
              </w:rPr>
              <w:t xml:space="preserve">Loss on revaluation of assets</w:t>
            </w:r>
          </w:p>
          <w:p>
            <w:pPr>
              <w:pStyle w:val="ListParagraph"/>
              <w:numPr>
                <w:ilvl w:val="0"/>
                <w:numId w:val="5"/>
              </w:numPr>
            </w:pPr>
            <w:r>
              <w:rPr>
                <w:rStyle w:val="row-content"/>
              </w:rPr>
              <w:t xml:space="preserve">Impairment expenses</w:t>
            </w:r>
          </w:p>
          <w:p>
            <w:pPr>
              <w:pStyle w:val="ListParagraph"/>
              <w:numPr>
                <w:ilvl w:val="0"/>
                <w:numId w:val="5"/>
              </w:numPr>
            </w:pPr>
            <w:r>
              <w:rPr>
                <w:rStyle w:val="row-content"/>
              </w:rPr>
              <w:t xml:space="preserve">Assets and services provided free of charge</w:t>
            </w:r>
          </w:p>
          <w:p>
            <w:r>
              <w:br/>
            </w:r>
            <w:r>
              <w:br/>
            </w:r>
            <w:hyperlink w:history="true" r:id="R75b50cb08c37403e">
              <w:r>
                <w:rPr>
                  <w:rStyle w:val="Hyperlink"/>
                </w:rPr>
                <w:t xml:space="preserve">Organisation file cluster (Indigenous community housing)</w:t>
              </w:r>
            </w:hyperlink>
          </w:p>
          <w:p>
            <w:pPr>
              <w:pStyle w:val="registration-status"/>
              <w:spacing w:before="0" w:after="0"/>
            </w:pPr>
            <w:hyperlink w:history="true" r:id="R514e6a802469477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data element is collected net expenditure over the financial year.</w:t>
            </w:r>
          </w:p>
          <w:p>
            <w:r>
              <w:rPr>
                <w:rStyle w:val="row-content"/>
              </w:rPr>
              <w:t xml:space="preserve">Net recurrent expenses include all administration and operational costs, such as:</w:t>
            </w:r>
          </w:p>
          <w:p>
            <w:r>
              <w:rPr>
                <w:rStyle w:val="row-content"/>
              </w:rPr>
              <w:t xml:space="preserve">employee expenses (e.g. wages and salaries, superannuation, compensation, accrued leave, payroll tax, training) housing maintenance property-related expenses (e.g. rates, costs of disposals) office supplies and services (e.g. stationery, postage, telephone, office equipment, vehicle expenses, insurance) borrowing costs (e.g. interest) depreciation and amortisation other expenses</w:t>
            </w:r>
          </w:p>
          <w:p>
            <w:r>
              <w:rPr>
                <w:rStyle w:val="row-content"/>
              </w:rPr>
              <w:t xml:space="preserve">Net recurrent expenses exclude:</w:t>
            </w:r>
          </w:p>
          <w:p>
            <w:r>
              <w:rPr>
                <w:rStyle w:val="row-content"/>
              </w:rPr>
              <w:t xml:space="preserve">depreciation on rental buildings (on tenancy rental units only, depreciation and amortisation on all other assets to be included) loss on disposal of assets loss on revaluation of assets unrealised losses on financial assets impairment expenses assets and services provided free of charge recoverable expenses cost of sale of inventory grants and subsidies</w:t>
            </w:r>
          </w:p>
          <w:p>
            <w:r>
              <w:br/>
            </w:r>
            <w:r>
              <w:br/>
            </w:r>
            <w:hyperlink w:history="true" r:id="R4c9289c2d25145eb">
              <w:r>
                <w:rPr>
                  <w:rStyle w:val="Hyperlink"/>
                </w:rPr>
                <w:t xml:space="preserve">Organisation file cluster (Indigenous community housing)</w:t>
              </w:r>
            </w:hyperlink>
          </w:p>
          <w:p>
            <w:pPr>
              <w:pStyle w:val="registration-status"/>
              <w:spacing w:before="0" w:after="0"/>
            </w:pPr>
            <w:hyperlink w:history="true" r:id="R227d5755c79a4ee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Net recurrent expenses include all administration and operational costs such as:</w:t>
            </w:r>
          </w:p>
          <w:p>
            <w:pPr>
              <w:pStyle w:val="ListParagraph"/>
              <w:numPr>
                <w:ilvl w:val="0"/>
                <w:numId w:val="6"/>
              </w:numPr>
            </w:pPr>
            <w:r>
              <w:rPr>
                <w:rStyle w:val="row-content"/>
              </w:rPr>
              <w:t xml:space="preserve">employee expenses (e.g. wages and salaries, superannuation, compensation, accrued leave, payroll tax, training)</w:t>
            </w:r>
          </w:p>
          <w:p>
            <w:pPr>
              <w:pStyle w:val="ListParagraph"/>
              <w:numPr>
                <w:ilvl w:val="0"/>
                <w:numId w:val="6"/>
              </w:numPr>
            </w:pPr>
            <w:r>
              <w:rPr>
                <w:rStyle w:val="row-content"/>
              </w:rPr>
              <w:t xml:space="preserve">housing maintenance property-related expenses (e.g. rates, costs of disposals)</w:t>
            </w:r>
          </w:p>
          <w:p>
            <w:pPr>
              <w:pStyle w:val="ListParagraph"/>
              <w:numPr>
                <w:ilvl w:val="0"/>
                <w:numId w:val="6"/>
              </w:numPr>
            </w:pPr>
            <w:r>
              <w:rPr>
                <w:rStyle w:val="row-content"/>
              </w:rPr>
              <w:t xml:space="preserve">office supplies and services (e.g. stationery, postage, telephone, office equipment, vehicle expenses, insurance)</w:t>
            </w:r>
          </w:p>
          <w:p>
            <w:pPr>
              <w:pStyle w:val="ListParagraph"/>
              <w:numPr>
                <w:ilvl w:val="0"/>
                <w:numId w:val="6"/>
              </w:numPr>
            </w:pPr>
            <w:r>
              <w:rPr>
                <w:rStyle w:val="row-content"/>
              </w:rPr>
              <w:t xml:space="preserve">borrowing costs (e.g. interest) depreciation and amortisation</w:t>
            </w:r>
          </w:p>
          <w:p>
            <w:pPr>
              <w:pStyle w:val="ListParagraph"/>
              <w:numPr>
                <w:ilvl w:val="0"/>
                <w:numId w:val="6"/>
              </w:numPr>
            </w:pPr>
            <w:r>
              <w:rPr>
                <w:rStyle w:val="row-content"/>
              </w:rPr>
              <w:t xml:space="preserve">other expenses </w:t>
            </w:r>
          </w:p>
          <w:p>
            <w:r>
              <w:rPr>
                <w:rStyle w:val="row-content"/>
              </w:rPr>
              <w:t xml:space="preserve">Net recurrent expenses exclude:</w:t>
            </w:r>
          </w:p>
          <w:p>
            <w:pPr>
              <w:pStyle w:val="ListParagraph"/>
              <w:numPr>
                <w:ilvl w:val="0"/>
                <w:numId w:val="7"/>
              </w:numPr>
            </w:pPr>
            <w:r>
              <w:rPr>
                <w:rStyle w:val="row-content"/>
              </w:rPr>
              <w:t xml:space="preserve">depreciation on rental buildings (on tenancy rental units only, depreciation and amortisation on all other assets to be included)</w:t>
            </w:r>
          </w:p>
          <w:p>
            <w:pPr>
              <w:pStyle w:val="ListParagraph"/>
              <w:numPr>
                <w:ilvl w:val="0"/>
                <w:numId w:val="7"/>
              </w:numPr>
            </w:pPr>
            <w:r>
              <w:rPr>
                <w:rStyle w:val="row-content"/>
              </w:rPr>
              <w:t xml:space="preserve">unrealised losses on financial assets</w:t>
            </w:r>
          </w:p>
          <w:p>
            <w:pPr>
              <w:pStyle w:val="ListParagraph"/>
              <w:numPr>
                <w:ilvl w:val="0"/>
                <w:numId w:val="7"/>
              </w:numPr>
            </w:pPr>
            <w:r>
              <w:rPr>
                <w:rStyle w:val="row-content"/>
              </w:rP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6828b01bb0a34bcd">
              <w:r>
                <w:rPr>
                  <w:rStyle w:val="Hyperlink"/>
                  <w:b/>
                </w:rPr>
                <w:t xml:space="preserve">Non-cash expenses</w:t>
              </w:r>
            </w:hyperlink>
            <w:r>
              <w:rPr>
                <w:rStyle w:val="row-content"/>
              </w:rPr>
              <w:t xml:space="preserve">, including:</w:t>
            </w:r>
          </w:p>
          <w:p>
            <w:pPr>
              <w:jc w:val="left"/>
            </w:pPr>
            <w:r>
              <w:rPr>
                <w:rStyle w:val="row-content"/>
              </w:rPr>
              <w:t xml:space="preserve">            - loss on disposal of assets</w:t>
            </w:r>
          </w:p>
          <w:p>
            <w:pPr>
              <w:jc w:val="left"/>
            </w:pPr>
            <w:r>
              <w:rPr>
                <w:rStyle w:val="row-content"/>
              </w:rPr>
              <w:t xml:space="preserve">            - loss on revaluation of assets</w:t>
            </w:r>
          </w:p>
          <w:p>
            <w:pPr>
              <w:jc w:val="left"/>
            </w:pPr>
            <w:r>
              <w:rPr>
                <w:rStyle w:val="row-content"/>
              </w:rPr>
              <w:t xml:space="preserve">            - impairment expenses</w:t>
            </w:r>
          </w:p>
          <w:p>
            <w:pPr>
              <w:jc w:val="left"/>
            </w:pPr>
            <w:r>
              <w:rPr>
                <w:rStyle w:val="row-content"/>
              </w:rPr>
              <w:t xml:space="preserve">            - assets and services provided free of charge</w:t>
            </w:r>
          </w:p>
          <w:p>
            <w:pPr>
              <w:jc w:val="left"/>
            </w:pPr>
            <w:r>
              <w:rPr>
                <w:rStyle w:val="row-content"/>
              </w:rPr>
              <w:t xml:space="preserve">            - cost of sale of inventory</w:t>
            </w:r>
          </w:p>
          <w:p>
            <w:pPr>
              <w:jc w:val="left"/>
            </w:pPr>
            <w:r>
              <w:rPr>
                <w:rStyle w:val="row-content"/>
              </w:rPr>
              <w:t xml:space="preserve">            - grants and subsidies</w:t>
            </w:r>
          </w:p>
          <w:p>
            <w:pPr>
              <w:jc w:val="left"/>
            </w:pPr>
            <w:r>
              <w:rPr>
                <w:rStyle w:val="row-content"/>
              </w:rPr>
              <w:t xml:space="preserve"> </w:t>
            </w:r>
          </w:p>
          <w:p>
            <w:pPr>
              <w:jc w:val="left"/>
            </w:pPr>
            <w:r>
              <w:rPr>
                <w:rStyle w:val="row-content"/>
              </w:rP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073c154ee3ad4ca1">
              <w:r>
                <w:rPr>
                  <w:rStyle w:val="Hyperlink"/>
                  <w:b/>
                </w:rPr>
                <w:t xml:space="preserve">Other non-salary expenses</w:t>
              </w:r>
            </w:hyperlink>
            <w:r>
              <w:rPr>
                <w:rStyle w:val="row-content"/>
              </w:rPr>
              <w:t xml:space="preserve">.</w:t>
            </w:r>
          </w:p>
          <w:p>
            <w:pPr>
              <w:jc w:val="left"/>
            </w:pPr>
            <w:r>
              <w:rPr>
                <w:rStyle w:val="row-content"/>
              </w:rPr>
              <w:t xml:space="preserve">Unknown dollar values are recorded as "U".</w:t>
            </w:r>
          </w:p>
          <w:p>
            <w:r>
              <w:br/>
            </w:r>
            <w:r>
              <w:br/>
            </w:r>
            <w:hyperlink w:history="true" r:id="R5e1a9fde2c8b4734">
              <w:r>
                <w:rPr>
                  <w:rStyle w:val="Hyperlink"/>
                </w:rPr>
                <w:t xml:space="preserve">Organisation file cluster (Indigenous community housing)</w:t>
              </w:r>
            </w:hyperlink>
          </w:p>
          <w:p>
            <w:pPr>
              <w:pStyle w:val="registration-status"/>
              <w:spacing w:before="0" w:after="0"/>
            </w:pPr>
            <w:hyperlink w:history="true" r:id="Ra80fceb86faa473c">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33ede7902054d08">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Net recurrent expenses include all administration and operational costs such as:</w:t>
            </w:r>
          </w:p>
          <w:p>
            <w:pPr>
              <w:pStyle w:val="ListParagraph"/>
              <w:numPr>
                <w:ilvl w:val="0"/>
                <w:numId w:val="8"/>
              </w:numPr>
            </w:pPr>
            <w:r>
              <w:rPr>
                <w:rStyle w:val="row-content"/>
              </w:rPr>
              <w:t xml:space="preserve">employee expenses (e.g. wages and salaries, superannuation, compensation, accrued leave, payroll tax, training)</w:t>
            </w:r>
          </w:p>
          <w:p>
            <w:pPr>
              <w:pStyle w:val="ListParagraph"/>
              <w:numPr>
                <w:ilvl w:val="0"/>
                <w:numId w:val="8"/>
              </w:numPr>
            </w:pPr>
            <w:r>
              <w:rPr>
                <w:rStyle w:val="row-content"/>
              </w:rPr>
              <w:t xml:space="preserve">housing maintenance property-related expenses (e.g. rates, costs of disposals)</w:t>
            </w:r>
          </w:p>
          <w:p>
            <w:pPr>
              <w:pStyle w:val="ListParagraph"/>
              <w:numPr>
                <w:ilvl w:val="0"/>
                <w:numId w:val="8"/>
              </w:numPr>
            </w:pPr>
            <w:r>
              <w:rPr>
                <w:rStyle w:val="row-content"/>
              </w:rPr>
              <w:t xml:space="preserve">office supplies and services (e.g. stationery, postage, telephone, office equipment, vehicle expenses, insurance)</w:t>
            </w:r>
          </w:p>
          <w:p>
            <w:pPr>
              <w:pStyle w:val="ListParagraph"/>
              <w:numPr>
                <w:ilvl w:val="0"/>
                <w:numId w:val="8"/>
              </w:numPr>
            </w:pPr>
            <w:r>
              <w:rPr>
                <w:rStyle w:val="row-content"/>
              </w:rPr>
              <w:t xml:space="preserve">borrowing costs (e.g. interest) depreciation and amortisation</w:t>
            </w:r>
          </w:p>
          <w:p>
            <w:pPr>
              <w:pStyle w:val="ListParagraph"/>
              <w:numPr>
                <w:ilvl w:val="0"/>
                <w:numId w:val="8"/>
              </w:numPr>
            </w:pPr>
            <w:r>
              <w:rPr>
                <w:rStyle w:val="row-content"/>
              </w:rPr>
              <w:t xml:space="preserve">other expenses </w:t>
            </w:r>
          </w:p>
          <w:p>
            <w:r>
              <w:rPr>
                <w:rStyle w:val="row-content"/>
              </w:rPr>
              <w:t xml:space="preserve">Net recurrent expenses exclude:</w:t>
            </w:r>
          </w:p>
          <w:p>
            <w:pPr>
              <w:pStyle w:val="ListParagraph"/>
              <w:numPr>
                <w:ilvl w:val="0"/>
                <w:numId w:val="9"/>
              </w:numPr>
            </w:pPr>
            <w:r>
              <w:rPr>
                <w:rStyle w:val="row-content"/>
              </w:rPr>
              <w:t xml:space="preserve">depreciation on rental buildings (on tenancy rental units only, depreciation and amortisation on all other assets to be included)</w:t>
            </w:r>
          </w:p>
          <w:p>
            <w:pPr>
              <w:pStyle w:val="ListParagraph"/>
              <w:numPr>
                <w:ilvl w:val="0"/>
                <w:numId w:val="9"/>
              </w:numPr>
            </w:pPr>
            <w:r>
              <w:rPr>
                <w:rStyle w:val="row-content"/>
              </w:rPr>
              <w:t xml:space="preserve">unrealised losses on financial assets</w:t>
            </w:r>
          </w:p>
          <w:p>
            <w:pPr>
              <w:pStyle w:val="ListParagraph"/>
              <w:numPr>
                <w:ilvl w:val="0"/>
                <w:numId w:val="9"/>
              </w:numPr>
            </w:pPr>
            <w:r>
              <w:rPr>
                <w:rStyle w:val="row-content"/>
              </w:rP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9c3944cb8c344e1d">
              <w:r>
                <w:rPr>
                  <w:rStyle w:val="Hyperlink"/>
                  <w:b/>
                </w:rPr>
                <w:t xml:space="preserve">Non-cash expenses</w:t>
              </w:r>
            </w:hyperlink>
            <w:r>
              <w:rPr>
                <w:rStyle w:val="row-content"/>
              </w:rPr>
              <w:t xml:space="preserve">, including:</w:t>
            </w:r>
          </w:p>
          <w:p>
            <w:pPr>
              <w:jc w:val="left"/>
            </w:pPr>
            <w:r>
              <w:rPr>
                <w:rStyle w:val="row-content"/>
              </w:rPr>
              <w:t xml:space="preserve">            - loss on disposal of assets</w:t>
            </w:r>
          </w:p>
          <w:p>
            <w:pPr>
              <w:jc w:val="left"/>
            </w:pPr>
            <w:r>
              <w:rPr>
                <w:rStyle w:val="row-content"/>
              </w:rPr>
              <w:t xml:space="preserve">            - loss on revaluation of assets</w:t>
            </w:r>
          </w:p>
          <w:p>
            <w:pPr>
              <w:jc w:val="left"/>
            </w:pPr>
            <w:r>
              <w:rPr>
                <w:rStyle w:val="row-content"/>
              </w:rPr>
              <w:t xml:space="preserve">            - impairment expenses</w:t>
            </w:r>
          </w:p>
          <w:p>
            <w:pPr>
              <w:jc w:val="left"/>
            </w:pPr>
            <w:r>
              <w:rPr>
                <w:rStyle w:val="row-content"/>
              </w:rPr>
              <w:t xml:space="preserve">            - assets and services provided free of charge</w:t>
            </w:r>
          </w:p>
          <w:p>
            <w:pPr>
              <w:jc w:val="left"/>
            </w:pPr>
            <w:r>
              <w:rPr>
                <w:rStyle w:val="row-content"/>
              </w:rPr>
              <w:t xml:space="preserve">            - cost of sale of inventory</w:t>
            </w:r>
          </w:p>
          <w:p>
            <w:pPr>
              <w:jc w:val="left"/>
            </w:pPr>
            <w:r>
              <w:rPr>
                <w:rStyle w:val="row-content"/>
              </w:rPr>
              <w:t xml:space="preserve">            - grants and subsidies</w:t>
            </w:r>
          </w:p>
          <w:p>
            <w:pPr>
              <w:jc w:val="left"/>
            </w:pPr>
            <w:r>
              <w:rPr>
                <w:rStyle w:val="row-content"/>
              </w:rPr>
              <w:t xml:space="preserve"> </w:t>
            </w:r>
          </w:p>
          <w:p>
            <w:pPr>
              <w:jc w:val="left"/>
            </w:pPr>
            <w:r>
              <w:rPr>
                <w:rStyle w:val="row-content"/>
              </w:rP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641d774a2a874a06">
              <w:r>
                <w:rPr>
                  <w:rStyle w:val="Hyperlink"/>
                  <w:b/>
                </w:rPr>
                <w:t xml:space="preserve">Other non-salary expenses</w:t>
              </w:r>
            </w:hyperlink>
            <w:r>
              <w:rPr>
                <w:rStyle w:val="row-content"/>
              </w:rPr>
              <w:t xml:space="preserve">.</w:t>
            </w:r>
          </w:p>
          <w:p>
            <w:pPr>
              <w:jc w:val="left"/>
            </w:pPr>
            <w:r>
              <w:rPr>
                <w:rStyle w:val="row-content"/>
              </w:rPr>
              <w:t xml:space="preserve">Unknown dollar values are recorded as "U".</w:t>
            </w:r>
          </w:p>
          <w:p>
            <w:r>
              <w:br/>
            </w:r>
            <w:r>
              <w:br/>
            </w:r>
            <w:hyperlink w:history="true" r:id="R5b6affad60d34f58">
              <w:r>
                <w:rPr>
                  <w:rStyle w:val="Hyperlink"/>
                </w:rPr>
                <w:t xml:space="preserve">Organisation file cluster (Indigenous community housing)</w:t>
              </w:r>
            </w:hyperlink>
          </w:p>
          <w:p>
            <w:pPr>
              <w:pStyle w:val="registration-status"/>
              <w:spacing w:before="0" w:after="0"/>
            </w:pPr>
            <w:hyperlink w:history="true" r:id="R35c69abd7201425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data element collects net recurrent costs to the service provider organisation. Net recurrent expenses include all administration and operational costs such as:</w:t>
            </w:r>
          </w:p>
          <w:p>
            <w:pPr>
              <w:pStyle w:val="ListParagraph"/>
              <w:numPr>
                <w:ilvl w:val="0"/>
                <w:numId w:val="10"/>
              </w:numPr>
            </w:pPr>
            <w:r>
              <w:rPr>
                <w:rStyle w:val="row-content"/>
              </w:rPr>
              <w:t xml:space="preserve">employee expenses (e.g. wages and salaries, superannuation, compensation, accrued leave, payroll tax, training)</w:t>
            </w:r>
          </w:p>
          <w:p>
            <w:pPr>
              <w:pStyle w:val="ListParagraph"/>
              <w:numPr>
                <w:ilvl w:val="0"/>
                <w:numId w:val="10"/>
              </w:numPr>
            </w:pPr>
            <w:r>
              <w:rPr>
                <w:rStyle w:val="row-content"/>
              </w:rPr>
              <w:t xml:space="preserve">housing maintenance</w:t>
            </w:r>
          </w:p>
          <w:p>
            <w:pPr>
              <w:pStyle w:val="ListParagraph"/>
              <w:numPr>
                <w:ilvl w:val="0"/>
                <w:numId w:val="10"/>
              </w:numPr>
            </w:pPr>
            <w:r>
              <w:rPr>
                <w:rStyle w:val="row-content"/>
              </w:rPr>
              <w:t xml:space="preserve">property-related expenses (e.g. rates, costs of disposals)</w:t>
            </w:r>
          </w:p>
          <w:p>
            <w:pPr>
              <w:pStyle w:val="ListParagraph"/>
              <w:numPr>
                <w:ilvl w:val="0"/>
                <w:numId w:val="10"/>
              </w:numPr>
            </w:pPr>
            <w:r>
              <w:rPr>
                <w:rStyle w:val="row-content"/>
              </w:rPr>
              <w:t xml:space="preserve">office supplies and services (e.g. stationery, postage, telephone, office equipment, vehicle expenses, insurance)</w:t>
            </w:r>
          </w:p>
          <w:p>
            <w:pPr>
              <w:pStyle w:val="ListParagraph"/>
              <w:numPr>
                <w:ilvl w:val="0"/>
                <w:numId w:val="10"/>
              </w:numPr>
            </w:pPr>
            <w:r>
              <w:rPr>
                <w:rStyle w:val="row-content"/>
              </w:rPr>
              <w:t xml:space="preserve">borrowing costs (e.g. interest)</w:t>
            </w:r>
          </w:p>
          <w:p>
            <w:pPr>
              <w:pStyle w:val="ListParagraph"/>
              <w:numPr>
                <w:ilvl w:val="0"/>
                <w:numId w:val="10"/>
              </w:numPr>
            </w:pPr>
            <w:r>
              <w:rPr>
                <w:rStyle w:val="row-content"/>
              </w:rPr>
              <w:t xml:space="preserve">depreciation and amortisation</w:t>
            </w:r>
          </w:p>
          <w:p>
            <w:pPr>
              <w:pStyle w:val="ListParagraph"/>
              <w:numPr>
                <w:ilvl w:val="0"/>
                <w:numId w:val="10"/>
              </w:numPr>
            </w:pPr>
            <w:r>
              <w:rPr>
                <w:rStyle w:val="row-content"/>
              </w:rPr>
              <w:t xml:space="preserve">other expenses.</w:t>
            </w:r>
          </w:p>
          <w:p>
            <w:r>
              <w:rPr>
                <w:rStyle w:val="row-content"/>
              </w:rPr>
              <w:t xml:space="preserve">Net recurrent expenses exclude:</w:t>
            </w:r>
          </w:p>
          <w:p>
            <w:pPr>
              <w:pStyle w:val="ListParagraph"/>
              <w:numPr>
                <w:ilvl w:val="0"/>
                <w:numId w:val="11"/>
              </w:numPr>
            </w:pPr>
            <w:r>
              <w:rPr>
                <w:rStyle w:val="row-content"/>
              </w:rPr>
              <w:t xml:space="preserve">depreciation on rental buildings (on tenancy rental units only, depreciation and amortisation on all other assets to be included)</w:t>
            </w:r>
          </w:p>
          <w:p>
            <w:pPr>
              <w:pStyle w:val="ListParagraph"/>
              <w:numPr>
                <w:ilvl w:val="0"/>
                <w:numId w:val="11"/>
              </w:numPr>
            </w:pPr>
            <w:r>
              <w:rPr>
                <w:rStyle w:val="row-content"/>
              </w:rPr>
              <w:t xml:space="preserve">loss on disposal of assets</w:t>
            </w:r>
          </w:p>
          <w:p>
            <w:pPr>
              <w:pStyle w:val="ListParagraph"/>
              <w:numPr>
                <w:ilvl w:val="0"/>
                <w:numId w:val="11"/>
              </w:numPr>
            </w:pPr>
            <w:r>
              <w:rPr>
                <w:rStyle w:val="row-content"/>
              </w:rPr>
              <w:t xml:space="preserve">loss on revaluation of assets</w:t>
            </w:r>
          </w:p>
          <w:p>
            <w:pPr>
              <w:pStyle w:val="ListParagraph"/>
              <w:numPr>
                <w:ilvl w:val="0"/>
                <w:numId w:val="11"/>
              </w:numPr>
            </w:pPr>
            <w:r>
              <w:rPr>
                <w:rStyle w:val="row-content"/>
              </w:rPr>
              <w:t xml:space="preserve">unrealised losses on financial assets</w:t>
            </w:r>
          </w:p>
          <w:p>
            <w:pPr>
              <w:pStyle w:val="ListParagraph"/>
              <w:numPr>
                <w:ilvl w:val="0"/>
                <w:numId w:val="11"/>
              </w:numPr>
            </w:pPr>
            <w:r>
              <w:rPr>
                <w:rStyle w:val="row-content"/>
              </w:rPr>
              <w:t xml:space="preserve">impairment expenses</w:t>
            </w:r>
          </w:p>
          <w:p>
            <w:pPr>
              <w:pStyle w:val="ListParagraph"/>
              <w:numPr>
                <w:ilvl w:val="0"/>
                <w:numId w:val="11"/>
              </w:numPr>
            </w:pPr>
            <w:r>
              <w:rPr>
                <w:rStyle w:val="row-content"/>
              </w:rPr>
              <w:t xml:space="preserve">assets and services provided free of charge</w:t>
            </w:r>
          </w:p>
          <w:p>
            <w:pPr>
              <w:pStyle w:val="ListParagraph"/>
              <w:numPr>
                <w:ilvl w:val="0"/>
                <w:numId w:val="11"/>
              </w:numPr>
            </w:pPr>
            <w:r>
              <w:rPr>
                <w:rStyle w:val="row-content"/>
              </w:rPr>
              <w:t xml:space="preserve">cost of sale of inventory</w:t>
            </w:r>
          </w:p>
          <w:p>
            <w:pPr>
              <w:pStyle w:val="ListParagraph"/>
              <w:numPr>
                <w:ilvl w:val="0"/>
                <w:numId w:val="11"/>
              </w:numPr>
            </w:pPr>
            <w:r>
              <w:rPr>
                <w:rStyle w:val="row-content"/>
              </w:rPr>
              <w:t xml:space="preserve">recoverable expenses</w:t>
            </w:r>
          </w:p>
          <w:p>
            <w:pPr>
              <w:pStyle w:val="ListParagraph"/>
              <w:numPr>
                <w:ilvl w:val="0"/>
                <w:numId w:val="11"/>
              </w:numPr>
            </w:pPr>
            <w:r>
              <w:rPr>
                <w:rStyle w:val="row-content"/>
              </w:rPr>
              <w:t xml:space="preserve">grants and subsidies.</w:t>
            </w:r>
          </w:p>
          <w:p>
            <w:pPr>
              <w:jc w:val="left"/>
            </w:pPr>
            <w:r>
              <w:rPr>
                <w:rStyle w:val="row-content"/>
              </w:rPr>
              <w:t xml:space="preserve">Also excluded are unfunded organisations - ICHOs who received funding in previous financial years (i.e prior to 1 July in the reference year).</w:t>
            </w:r>
          </w:p>
          <w:p>
            <w:pPr>
              <w:jc w:val="left"/>
            </w:pPr>
            <w:r>
              <w:rPr>
                <w:rStyle w:val="row-content"/>
              </w:rPr>
              <w:t xml:space="preserve">Unknown dollar values are recorded as "U".</w:t>
            </w:r>
          </w:p>
          <w:p>
            <w:r>
              <w:br/>
            </w:r>
            <w:r>
              <w:br/>
            </w:r>
            <w:hyperlink w:history="true" r:id="Rbd6f7d7e9b544b89">
              <w:r>
                <w:rPr>
                  <w:rStyle w:val="Hyperlink"/>
                </w:rPr>
                <w:t xml:space="preserve">Service provider organisation cluster (Mainstream community housing)</w:t>
              </w:r>
            </w:hyperlink>
          </w:p>
          <w:p>
            <w:pPr>
              <w:pStyle w:val="registration-status"/>
              <w:spacing w:before="0" w:after="0"/>
            </w:pPr>
            <w:hyperlink w:history="true" r:id="R49c970fd4159489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item records the net recurrent cost to the service provider organisation.</w:t>
            </w:r>
          </w:p>
          <w:p>
            <w:r>
              <w:rPr>
                <w:rStyle w:val="row-content"/>
              </w:rPr>
              <w:t xml:space="preserve"> </w:t>
            </w:r>
          </w:p>
          <w:p>
            <w:r>
              <w:rPr>
                <w:rStyle w:val="row-content"/>
                <w:b/>
              </w:rPr>
              <w:t xml:space="preserve">Includes:</w:t>
            </w:r>
          </w:p>
          <w:p>
            <w:r>
              <w:rPr>
                <w:rStyle w:val="row-content"/>
              </w:rPr>
              <w:t xml:space="preserve">Employee expenses (e.g. wages and salaries, payroll tax, superannuation, compensation, accrued leave, and training); Supplies and service expenses (e.g. stationery, postage, telephone, vehicle, office equipment, information technology, auditing and accounting); Office rent; General accounting and personnel function costs (e.g. training costs or levies paid to community housing training authority or peak body); Grants and subsidies (excluding rental subsidies); Contracted community housing management services; Repairs and maintenance (e.g. day to day, cyclical or other); Rates (e.g. water or council/shire) where the provider is responsible for payment; Strata-title or body corporate charges; Costs of removal, sale or disposal of properties and inspections and building insurance where the provider is responsible for payment and public liability insurance; and Market rent paid (such as from head leasing) and interest expense (e.g. interest on loans).</w:t>
            </w:r>
          </w:p>
          <w:p>
            <w:r>
              <w:rPr>
                <w:rStyle w:val="row-content"/>
                <w:b/>
              </w:rPr>
              <w:t xml:space="preserve">Excludes: </w:t>
            </w:r>
          </w:p>
          <w:p>
            <w:r>
              <w:rPr>
                <w:rStyle w:val="row-content"/>
              </w:rPr>
              <w:t xml:space="preserve">Costs used for the purposes of capital (stock provision); The purchase of dwellings; and Construction costs.</w:t>
            </w:r>
          </w:p>
          <w:p>
            <w:r>
              <w:br/>
            </w:r>
            <w:r>
              <w:br/>
            </w:r>
            <w:hyperlink w:history="true" r:id="Rff6b6f787cd140e6">
              <w:r>
                <w:rPr>
                  <w:rStyle w:val="Hyperlink"/>
                </w:rPr>
                <w:t xml:space="preserve">Service provider organisation cluster (Mainstream community housing)</w:t>
              </w:r>
            </w:hyperlink>
          </w:p>
          <w:p>
            <w:pPr>
              <w:pStyle w:val="registration-status"/>
              <w:spacing w:before="0" w:after="0"/>
            </w:pPr>
            <w:hyperlink w:history="true" r:id="R353243a55c4e4ac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2"/>
              </w:numPr>
            </w:pPr>
            <w:r>
              <w:rPr>
                <w:rStyle w:val="row-content"/>
              </w:rPr>
              <w:t xml:space="preserve">Employee expenses (e.g. wages and salaries, payroll tax, superannuation, compensation, accrued leave, and training);</w:t>
            </w:r>
          </w:p>
          <w:p>
            <w:pPr>
              <w:pStyle w:val="ListParagraph"/>
              <w:numPr>
                <w:ilvl w:val="0"/>
                <w:numId w:val="12"/>
              </w:numPr>
            </w:pPr>
            <w:r>
              <w:rPr>
                <w:rStyle w:val="row-content"/>
              </w:rPr>
              <w:t xml:space="preserve">Supplies and service expenses (e.g. stationery, postage, telephone, vehicle, office equipment, information technology, auditing and accounting);</w:t>
            </w:r>
          </w:p>
          <w:p>
            <w:pPr>
              <w:pStyle w:val="ListParagraph"/>
              <w:numPr>
                <w:ilvl w:val="0"/>
                <w:numId w:val="12"/>
              </w:numPr>
            </w:pPr>
            <w:r>
              <w:rPr>
                <w:rStyle w:val="row-content"/>
              </w:rPr>
              <w:t xml:space="preserve">Office rent;</w:t>
            </w:r>
          </w:p>
          <w:p>
            <w:pPr>
              <w:pStyle w:val="ListParagraph"/>
              <w:numPr>
                <w:ilvl w:val="0"/>
                <w:numId w:val="12"/>
              </w:numPr>
            </w:pPr>
            <w:r>
              <w:rPr>
                <w:rStyle w:val="row-content"/>
              </w:rPr>
              <w:t xml:space="preserve">General accounting and personnel function costs (e.g. training costs or levies paid to community housing training authority or peak body);</w:t>
            </w:r>
          </w:p>
          <w:p>
            <w:pPr>
              <w:pStyle w:val="ListParagraph"/>
              <w:numPr>
                <w:ilvl w:val="0"/>
                <w:numId w:val="12"/>
              </w:numPr>
            </w:pPr>
            <w:r>
              <w:rPr>
                <w:rStyle w:val="row-content"/>
              </w:rPr>
              <w:t xml:space="preserve">Grants and subsidies (excluding rental subsidies);</w:t>
            </w:r>
          </w:p>
          <w:p>
            <w:pPr>
              <w:pStyle w:val="ListParagraph"/>
              <w:numPr>
                <w:ilvl w:val="0"/>
                <w:numId w:val="12"/>
              </w:numPr>
            </w:pPr>
            <w:r>
              <w:rPr>
                <w:rStyle w:val="row-content"/>
              </w:rPr>
              <w:t xml:space="preserve">Contracted community housing management services;</w:t>
            </w:r>
          </w:p>
          <w:p>
            <w:pPr>
              <w:pStyle w:val="ListParagraph"/>
              <w:numPr>
                <w:ilvl w:val="0"/>
                <w:numId w:val="12"/>
              </w:numPr>
            </w:pPr>
            <w:r>
              <w:rPr>
                <w:rStyle w:val="row-content"/>
              </w:rPr>
              <w:t xml:space="preserve">Repairs and maintenance (e.g. day to day, cyclical or other);</w:t>
            </w:r>
          </w:p>
          <w:p>
            <w:pPr>
              <w:pStyle w:val="ListParagraph"/>
              <w:numPr>
                <w:ilvl w:val="0"/>
                <w:numId w:val="12"/>
              </w:numPr>
            </w:pPr>
            <w:r>
              <w:rPr>
                <w:rStyle w:val="row-content"/>
              </w:rPr>
              <w:t xml:space="preserve">Rates (e.g. water or council/shire) where the provider is responsible for payment;</w:t>
            </w:r>
          </w:p>
          <w:p>
            <w:pPr>
              <w:pStyle w:val="ListParagraph"/>
              <w:numPr>
                <w:ilvl w:val="0"/>
                <w:numId w:val="12"/>
              </w:numPr>
            </w:pPr>
            <w:r>
              <w:rPr>
                <w:rStyle w:val="row-content"/>
              </w:rPr>
              <w:t xml:space="preserve">Strata-title or body corporate charges;</w:t>
            </w:r>
          </w:p>
          <w:p>
            <w:pPr>
              <w:pStyle w:val="ListParagraph"/>
              <w:numPr>
                <w:ilvl w:val="0"/>
                <w:numId w:val="12"/>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2"/>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3"/>
              </w:numPr>
            </w:pPr>
            <w:r>
              <w:rPr>
                <w:rStyle w:val="row-content"/>
              </w:rPr>
              <w:t xml:space="preserve">Costs used for the purposes of capital (stock provision);</w:t>
            </w:r>
          </w:p>
          <w:p>
            <w:pPr>
              <w:pStyle w:val="ListParagraph"/>
              <w:numPr>
                <w:ilvl w:val="0"/>
                <w:numId w:val="13"/>
              </w:numPr>
            </w:pPr>
            <w:r>
              <w:rPr>
                <w:rStyle w:val="row-content"/>
              </w:rPr>
              <w:t xml:space="preserve">The purchase of dwellings; and</w:t>
            </w:r>
          </w:p>
          <w:p>
            <w:pPr>
              <w:pStyle w:val="ListParagraph"/>
              <w:numPr>
                <w:ilvl w:val="0"/>
                <w:numId w:val="13"/>
              </w:numPr>
            </w:pPr>
            <w:r>
              <w:rPr>
                <w:rStyle w:val="row-content"/>
              </w:rPr>
              <w:t xml:space="preserve">Construction costs.</w:t>
            </w:r>
          </w:p>
          <w:p>
            <w:r>
              <w:br/>
            </w:r>
            <w:r>
              <w:br/>
            </w:r>
            <w:hyperlink w:history="true" r:id="R36caea110a3044f5">
              <w:r>
                <w:rPr>
                  <w:rStyle w:val="Hyperlink"/>
                </w:rPr>
                <w:t xml:space="preserve">Service provider organisation cluster (Mainstream community housing)</w:t>
              </w:r>
            </w:hyperlink>
          </w:p>
          <w:p>
            <w:pPr>
              <w:pStyle w:val="registration-status"/>
              <w:spacing w:before="0" w:after="0"/>
            </w:pPr>
            <w:hyperlink w:history="true" r:id="R469dd40789ef4d72">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4"/>
              </w:numPr>
            </w:pPr>
            <w:r>
              <w:rPr>
                <w:rStyle w:val="row-content"/>
              </w:rPr>
              <w:t xml:space="preserve">Employee expenses (e.g. wages and salaries, payroll tax, superannuation, compensation, accrued leave, and training);</w:t>
            </w:r>
          </w:p>
          <w:p>
            <w:pPr>
              <w:pStyle w:val="ListParagraph"/>
              <w:numPr>
                <w:ilvl w:val="0"/>
                <w:numId w:val="14"/>
              </w:numPr>
            </w:pPr>
            <w:r>
              <w:rPr>
                <w:rStyle w:val="row-content"/>
              </w:rPr>
              <w:t xml:space="preserve">Supplies and service expenses (e.g. stationery, postage, telephone, vehicle, office equipment, information technology, auditing and accounting);</w:t>
            </w:r>
          </w:p>
          <w:p>
            <w:pPr>
              <w:pStyle w:val="ListParagraph"/>
              <w:numPr>
                <w:ilvl w:val="0"/>
                <w:numId w:val="14"/>
              </w:numPr>
            </w:pPr>
            <w:r>
              <w:rPr>
                <w:rStyle w:val="row-content"/>
              </w:rPr>
              <w:t xml:space="preserve">Office rent;</w:t>
            </w:r>
          </w:p>
          <w:p>
            <w:pPr>
              <w:pStyle w:val="ListParagraph"/>
              <w:numPr>
                <w:ilvl w:val="0"/>
                <w:numId w:val="14"/>
              </w:numPr>
            </w:pPr>
            <w:r>
              <w:rPr>
                <w:rStyle w:val="row-content"/>
              </w:rPr>
              <w:t xml:space="preserve">General accounting and personnel function costs (e.g. training costs or levies paid to community housing training authority or peak body);</w:t>
            </w:r>
          </w:p>
          <w:p>
            <w:pPr>
              <w:pStyle w:val="ListParagraph"/>
              <w:numPr>
                <w:ilvl w:val="0"/>
                <w:numId w:val="14"/>
              </w:numPr>
            </w:pPr>
            <w:r>
              <w:rPr>
                <w:rStyle w:val="row-content"/>
              </w:rPr>
              <w:t xml:space="preserve">Grants and subsidies (excluding rental subsidies);</w:t>
            </w:r>
          </w:p>
          <w:p>
            <w:pPr>
              <w:pStyle w:val="ListParagraph"/>
              <w:numPr>
                <w:ilvl w:val="0"/>
                <w:numId w:val="14"/>
              </w:numPr>
            </w:pPr>
            <w:r>
              <w:rPr>
                <w:rStyle w:val="row-content"/>
              </w:rPr>
              <w:t xml:space="preserve">Contracted community housing management services;</w:t>
            </w:r>
          </w:p>
          <w:p>
            <w:pPr>
              <w:pStyle w:val="ListParagraph"/>
              <w:numPr>
                <w:ilvl w:val="0"/>
                <w:numId w:val="14"/>
              </w:numPr>
            </w:pPr>
            <w:r>
              <w:rPr>
                <w:rStyle w:val="row-content"/>
              </w:rPr>
              <w:t xml:space="preserve">Repairs and maintenance (e.g. day to day, cyclical or other);</w:t>
            </w:r>
          </w:p>
          <w:p>
            <w:pPr>
              <w:pStyle w:val="ListParagraph"/>
              <w:numPr>
                <w:ilvl w:val="0"/>
                <w:numId w:val="14"/>
              </w:numPr>
            </w:pPr>
            <w:r>
              <w:rPr>
                <w:rStyle w:val="row-content"/>
              </w:rPr>
              <w:t xml:space="preserve">Rates (e.g. water or council/shire) where the provider is responsible for payment;</w:t>
            </w:r>
          </w:p>
          <w:p>
            <w:pPr>
              <w:pStyle w:val="ListParagraph"/>
              <w:numPr>
                <w:ilvl w:val="0"/>
                <w:numId w:val="14"/>
              </w:numPr>
            </w:pPr>
            <w:r>
              <w:rPr>
                <w:rStyle w:val="row-content"/>
              </w:rPr>
              <w:t xml:space="preserve">Strata-title or body corporate charges;</w:t>
            </w:r>
          </w:p>
          <w:p>
            <w:pPr>
              <w:pStyle w:val="ListParagraph"/>
              <w:numPr>
                <w:ilvl w:val="0"/>
                <w:numId w:val="14"/>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4"/>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5"/>
              </w:numPr>
            </w:pPr>
            <w:r>
              <w:rPr>
                <w:rStyle w:val="row-content"/>
              </w:rPr>
              <w:t xml:space="preserve">Costs used for the purposes of capital (stock provision);</w:t>
            </w:r>
          </w:p>
          <w:p>
            <w:pPr>
              <w:pStyle w:val="ListParagraph"/>
              <w:numPr>
                <w:ilvl w:val="0"/>
                <w:numId w:val="15"/>
              </w:numPr>
            </w:pPr>
            <w:r>
              <w:rPr>
                <w:rStyle w:val="row-content"/>
              </w:rPr>
              <w:t xml:space="preserve">The purchase of dwellings; and</w:t>
            </w:r>
          </w:p>
          <w:p>
            <w:pPr>
              <w:pStyle w:val="ListParagraph"/>
              <w:numPr>
                <w:ilvl w:val="0"/>
                <w:numId w:val="15"/>
              </w:numPr>
            </w:pPr>
            <w:r>
              <w:rPr>
                <w:rStyle w:val="row-content"/>
              </w:rPr>
              <w:t xml:space="preserve">Construction costs.</w:t>
            </w:r>
          </w:p>
          <w:p>
            <w:r>
              <w:br/>
            </w:r>
            <w:r>
              <w:br/>
            </w:r>
            <w:hyperlink w:history="true" r:id="R08d608fee15a419f">
              <w:r>
                <w:rPr>
                  <w:rStyle w:val="Hyperlink"/>
                </w:rPr>
                <w:t xml:space="preserve">Service provider organisation cluster (Mainstream community housing)</w:t>
              </w:r>
            </w:hyperlink>
          </w:p>
          <w:p>
            <w:pPr>
              <w:pStyle w:val="registration-status"/>
              <w:spacing w:before="0" w:after="0"/>
            </w:pPr>
            <w:hyperlink w:history="true" r:id="R4e0a07f70536446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6"/>
              </w:numPr>
            </w:pPr>
            <w:r>
              <w:rPr>
                <w:rStyle w:val="row-content"/>
              </w:rPr>
              <w:t xml:space="preserve">Employee expenses (e.g. wages and salaries, payroll tax, superannuation, compensation, accrued leave, and training);</w:t>
            </w:r>
          </w:p>
          <w:p>
            <w:pPr>
              <w:pStyle w:val="ListParagraph"/>
              <w:numPr>
                <w:ilvl w:val="0"/>
                <w:numId w:val="16"/>
              </w:numPr>
            </w:pPr>
            <w:r>
              <w:rPr>
                <w:rStyle w:val="row-content"/>
              </w:rPr>
              <w:t xml:space="preserve">Supplies and service expenses (e.g. stationery, postage, telephone, vehicle, office equipment, information technology, auditing and accounting);</w:t>
            </w:r>
          </w:p>
          <w:p>
            <w:pPr>
              <w:pStyle w:val="ListParagraph"/>
              <w:numPr>
                <w:ilvl w:val="0"/>
                <w:numId w:val="16"/>
              </w:numPr>
            </w:pPr>
            <w:r>
              <w:rPr>
                <w:rStyle w:val="row-content"/>
              </w:rPr>
              <w:t xml:space="preserve">Office rent;</w:t>
            </w:r>
          </w:p>
          <w:p>
            <w:pPr>
              <w:pStyle w:val="ListParagraph"/>
              <w:numPr>
                <w:ilvl w:val="0"/>
                <w:numId w:val="16"/>
              </w:numPr>
            </w:pPr>
            <w:r>
              <w:rPr>
                <w:rStyle w:val="row-content"/>
              </w:rPr>
              <w:t xml:space="preserve">General accounting and personnel function costs (e.g. training costs or levies paid to community housing training authority or peak body);</w:t>
            </w:r>
          </w:p>
          <w:p>
            <w:pPr>
              <w:pStyle w:val="ListParagraph"/>
              <w:numPr>
                <w:ilvl w:val="0"/>
                <w:numId w:val="16"/>
              </w:numPr>
            </w:pPr>
            <w:r>
              <w:rPr>
                <w:rStyle w:val="row-content"/>
              </w:rPr>
              <w:t xml:space="preserve">Grants and subsidies (excluding rental subsidies);</w:t>
            </w:r>
          </w:p>
          <w:p>
            <w:pPr>
              <w:pStyle w:val="ListParagraph"/>
              <w:numPr>
                <w:ilvl w:val="0"/>
                <w:numId w:val="16"/>
              </w:numPr>
            </w:pPr>
            <w:r>
              <w:rPr>
                <w:rStyle w:val="row-content"/>
              </w:rPr>
              <w:t xml:space="preserve">Contracted community housing management services;</w:t>
            </w:r>
          </w:p>
          <w:p>
            <w:pPr>
              <w:pStyle w:val="ListParagraph"/>
              <w:numPr>
                <w:ilvl w:val="0"/>
                <w:numId w:val="16"/>
              </w:numPr>
            </w:pPr>
            <w:r>
              <w:rPr>
                <w:rStyle w:val="row-content"/>
              </w:rPr>
              <w:t xml:space="preserve">Repairs and maintenance (e.g. day to day, cyclical or other);</w:t>
            </w:r>
          </w:p>
          <w:p>
            <w:pPr>
              <w:pStyle w:val="ListParagraph"/>
              <w:numPr>
                <w:ilvl w:val="0"/>
                <w:numId w:val="16"/>
              </w:numPr>
            </w:pPr>
            <w:r>
              <w:rPr>
                <w:rStyle w:val="row-content"/>
              </w:rPr>
              <w:t xml:space="preserve">Rates (e.g. water or council/shire) where the provider is responsible for payment;</w:t>
            </w:r>
          </w:p>
          <w:p>
            <w:pPr>
              <w:pStyle w:val="ListParagraph"/>
              <w:numPr>
                <w:ilvl w:val="0"/>
                <w:numId w:val="16"/>
              </w:numPr>
            </w:pPr>
            <w:r>
              <w:rPr>
                <w:rStyle w:val="row-content"/>
              </w:rPr>
              <w:t xml:space="preserve">Strata-title or body corporate charges;</w:t>
            </w:r>
          </w:p>
          <w:p>
            <w:pPr>
              <w:pStyle w:val="ListParagraph"/>
              <w:numPr>
                <w:ilvl w:val="0"/>
                <w:numId w:val="16"/>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6"/>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7"/>
              </w:numPr>
            </w:pPr>
            <w:r>
              <w:rPr>
                <w:rStyle w:val="row-content"/>
              </w:rPr>
              <w:t xml:space="preserve">Costs used for the purposes of capital (stock provision);</w:t>
            </w:r>
          </w:p>
          <w:p>
            <w:pPr>
              <w:pStyle w:val="ListParagraph"/>
              <w:numPr>
                <w:ilvl w:val="0"/>
                <w:numId w:val="17"/>
              </w:numPr>
            </w:pPr>
            <w:r>
              <w:rPr>
                <w:rStyle w:val="row-content"/>
              </w:rPr>
              <w:t xml:space="preserve">The purchase of dwellings; and</w:t>
            </w:r>
          </w:p>
          <w:p>
            <w:pPr>
              <w:pStyle w:val="ListParagraph"/>
              <w:numPr>
                <w:ilvl w:val="0"/>
                <w:numId w:val="17"/>
              </w:numPr>
            </w:pPr>
            <w:r>
              <w:rPr>
                <w:rStyle w:val="row-content"/>
              </w:rPr>
              <w:t xml:space="preserve">Construction costs.</w:t>
            </w:r>
          </w:p>
          <w:p>
            <w:r>
              <w:br/>
            </w:r>
            <w:r>
              <w:br/>
            </w:r>
            <w:hyperlink w:history="true" r:id="R08d2e056b4fb458c">
              <w:r>
                <w:rPr>
                  <w:rStyle w:val="Hyperlink"/>
                </w:rPr>
                <w:t xml:space="preserve">Service provider organisation cluster (Mainstream community housing)</w:t>
              </w:r>
            </w:hyperlink>
          </w:p>
          <w:p>
            <w:pPr>
              <w:pStyle w:val="registration-status"/>
              <w:spacing w:before="0" w:after="0"/>
            </w:pPr>
            <w:hyperlink w:history="true" r:id="R956bef639c27437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8"/>
              </w:numPr>
            </w:pPr>
            <w:r>
              <w:rPr>
                <w:rStyle w:val="row-content"/>
              </w:rPr>
              <w:t xml:space="preserve">Employee expenses (e.g. wages and salaries, payroll tax, superannuation, compensation, accrued leave, and training);</w:t>
            </w:r>
          </w:p>
          <w:p>
            <w:pPr>
              <w:pStyle w:val="ListParagraph"/>
              <w:numPr>
                <w:ilvl w:val="0"/>
                <w:numId w:val="18"/>
              </w:numPr>
            </w:pPr>
            <w:r>
              <w:rPr>
                <w:rStyle w:val="row-content"/>
              </w:rPr>
              <w:t xml:space="preserve">Supplies and service expenses (e.g. stationery, postage, telephone, vehicle, office equipment, information technology, auditing and accounting);</w:t>
            </w:r>
          </w:p>
          <w:p>
            <w:pPr>
              <w:pStyle w:val="ListParagraph"/>
              <w:numPr>
                <w:ilvl w:val="0"/>
                <w:numId w:val="18"/>
              </w:numPr>
            </w:pPr>
            <w:r>
              <w:rPr>
                <w:rStyle w:val="row-content"/>
              </w:rPr>
              <w:t xml:space="preserve">Office rent;</w:t>
            </w:r>
          </w:p>
          <w:p>
            <w:pPr>
              <w:pStyle w:val="ListParagraph"/>
              <w:numPr>
                <w:ilvl w:val="0"/>
                <w:numId w:val="18"/>
              </w:numPr>
            </w:pPr>
            <w:r>
              <w:rPr>
                <w:rStyle w:val="row-content"/>
              </w:rPr>
              <w:t xml:space="preserve">General accounting and personnel function costs (e.g. training costs or levies paid to community housing training authority or peak body);</w:t>
            </w:r>
          </w:p>
          <w:p>
            <w:pPr>
              <w:pStyle w:val="ListParagraph"/>
              <w:numPr>
                <w:ilvl w:val="0"/>
                <w:numId w:val="18"/>
              </w:numPr>
            </w:pPr>
            <w:r>
              <w:rPr>
                <w:rStyle w:val="row-content"/>
              </w:rPr>
              <w:t xml:space="preserve">Grants and subsidies (excluding rental subsidies);</w:t>
            </w:r>
          </w:p>
          <w:p>
            <w:pPr>
              <w:pStyle w:val="ListParagraph"/>
              <w:numPr>
                <w:ilvl w:val="0"/>
                <w:numId w:val="18"/>
              </w:numPr>
            </w:pPr>
            <w:r>
              <w:rPr>
                <w:rStyle w:val="row-content"/>
              </w:rPr>
              <w:t xml:space="preserve">Contracted community housing management services;</w:t>
            </w:r>
          </w:p>
          <w:p>
            <w:pPr>
              <w:pStyle w:val="ListParagraph"/>
              <w:numPr>
                <w:ilvl w:val="0"/>
                <w:numId w:val="18"/>
              </w:numPr>
            </w:pPr>
            <w:r>
              <w:rPr>
                <w:rStyle w:val="row-content"/>
              </w:rPr>
              <w:t xml:space="preserve">Repairs and maintenance (e.g. day to day, cyclical or other);</w:t>
            </w:r>
          </w:p>
          <w:p>
            <w:pPr>
              <w:pStyle w:val="ListParagraph"/>
              <w:numPr>
                <w:ilvl w:val="0"/>
                <w:numId w:val="18"/>
              </w:numPr>
            </w:pPr>
            <w:r>
              <w:rPr>
                <w:rStyle w:val="row-content"/>
              </w:rPr>
              <w:t xml:space="preserve">Rates (e.g. water or council/shire) where the provider is responsible for payment;</w:t>
            </w:r>
          </w:p>
          <w:p>
            <w:pPr>
              <w:pStyle w:val="ListParagraph"/>
              <w:numPr>
                <w:ilvl w:val="0"/>
                <w:numId w:val="18"/>
              </w:numPr>
            </w:pPr>
            <w:r>
              <w:rPr>
                <w:rStyle w:val="row-content"/>
              </w:rPr>
              <w:t xml:space="preserve">Strata-title or body corporate charges;</w:t>
            </w:r>
          </w:p>
          <w:p>
            <w:pPr>
              <w:pStyle w:val="ListParagraph"/>
              <w:numPr>
                <w:ilvl w:val="0"/>
                <w:numId w:val="18"/>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8"/>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9"/>
              </w:numPr>
            </w:pPr>
            <w:r>
              <w:rPr>
                <w:rStyle w:val="row-content"/>
              </w:rPr>
              <w:t xml:space="preserve">Costs used for the purposes of capital (stock provision);</w:t>
            </w:r>
          </w:p>
          <w:p>
            <w:pPr>
              <w:pStyle w:val="ListParagraph"/>
              <w:numPr>
                <w:ilvl w:val="0"/>
                <w:numId w:val="19"/>
              </w:numPr>
            </w:pPr>
            <w:r>
              <w:rPr>
                <w:rStyle w:val="row-content"/>
              </w:rPr>
              <w:t xml:space="preserve">The purchase of dwellings; and</w:t>
            </w:r>
          </w:p>
          <w:p>
            <w:pPr>
              <w:pStyle w:val="ListParagraph"/>
              <w:numPr>
                <w:ilvl w:val="0"/>
                <w:numId w:val="19"/>
              </w:numPr>
            </w:pPr>
            <w:r>
              <w:rPr>
                <w:rStyle w:val="row-content"/>
              </w:rPr>
              <w:t xml:space="preserve">Construction costs.</w:t>
            </w:r>
          </w:p>
          <w:p>
            <w:r>
              <w:br/>
            </w:r>
            <w:r>
              <w:br/>
            </w:r>
          </w:p>
        </w:tc>
      </w:tr>
    </w:tbl>
    <w:p/>
    <w:tbl>
      <w:tblPr>
        <w:tblStyle w:val="TableGrid"/>
        <w:tblW w:w="0" w:type="auto"/>
      </w:tblPr>
    </w:tbl>
    <w:p>
      <w:r>
        <w:br/>
      </w:r>
    </w:p>
    <w:sectPr>
      <w:footerReference xmlns:r="http://schemas.openxmlformats.org/officeDocument/2006/relationships" w:type="default" r:id="R199013c40849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8ac6eec01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013c408494963" /><Relationship Type="http://schemas.openxmlformats.org/officeDocument/2006/relationships/header" Target="/word/header1.xml" Id="R54ea2d1a32d64469" /><Relationship Type="http://schemas.openxmlformats.org/officeDocument/2006/relationships/settings" Target="/word/settings.xml" Id="R1bc536b8b68c4166" /><Relationship Type="http://schemas.openxmlformats.org/officeDocument/2006/relationships/styles" Target="/word/styles.xml" Id="R3c3cec3fb9da4814" /><Relationship Type="http://schemas.openxmlformats.org/officeDocument/2006/relationships/numbering" Target="/word/numbering.xml" Id="R506f138d3adf485d" /><Relationship Type="http://schemas.openxmlformats.org/officeDocument/2006/relationships/hyperlink" Target="https://meteor-uat.aihw.gov.au/RegistrationAuthority/13" TargetMode="External" Id="Re464334530094366" /><Relationship Type="http://schemas.openxmlformats.org/officeDocument/2006/relationships/hyperlink" Target="https://meteor-uat.aihw.gov.au/content/464833" TargetMode="External" Id="R8950e564be724daf" /><Relationship Type="http://schemas.openxmlformats.org/officeDocument/2006/relationships/hyperlink" Target="https://meteor-uat.aihw.gov.au/RegistrationAuthority/13" TargetMode="External" Id="Rc7c05353ec2c4adb" /><Relationship Type="http://schemas.openxmlformats.org/officeDocument/2006/relationships/hyperlink" Target="https://meteor-uat.aihw.gov.au/content/269022" TargetMode="External" Id="R9c71ff5366a94953" /><Relationship Type="http://schemas.openxmlformats.org/officeDocument/2006/relationships/hyperlink" Target="https://meteor-uat.aihw.gov.au/content/464829" TargetMode="External" Id="Re3a9f4621f2a4631" /><Relationship Type="http://schemas.openxmlformats.org/officeDocument/2006/relationships/hyperlink" Target="https://meteor-uat.aihw.gov.au/content/463325" TargetMode="External" Id="Rd90c8d09abd14319" /><Relationship Type="http://schemas.openxmlformats.org/officeDocument/2006/relationships/hyperlink" Target="https://meteor-uat.aihw.gov.au/RegistrationAuthority/13" TargetMode="External" Id="R0530122a22c14194" /><Relationship Type="http://schemas.openxmlformats.org/officeDocument/2006/relationships/hyperlink" Target="https://meteor-uat.aihw.gov.au/content/710899" TargetMode="External" Id="R82a44579e6814b0e" /><Relationship Type="http://schemas.openxmlformats.org/officeDocument/2006/relationships/hyperlink" Target="https://meteor-uat.aihw.gov.au/RegistrationAuthority/13" TargetMode="External" Id="Rfec5970d8daf4408" /><Relationship Type="http://schemas.openxmlformats.org/officeDocument/2006/relationships/hyperlink" Target="https://meteor-uat.aihw.gov.au/content/711226" TargetMode="External" Id="Rc992a76f73a94d80" /><Relationship Type="http://schemas.openxmlformats.org/officeDocument/2006/relationships/hyperlink" Target="https://meteor-uat.aihw.gov.au/RegistrationAuthority/13" TargetMode="External" Id="Rb9ab04074a124d42" /><Relationship Type="http://schemas.openxmlformats.org/officeDocument/2006/relationships/hyperlink" Target="https://meteor-uat.aihw.gov.au/content/463472" TargetMode="External" Id="R75b50cb08c37403e" /><Relationship Type="http://schemas.openxmlformats.org/officeDocument/2006/relationships/hyperlink" Target="https://meteor-uat.aihw.gov.au/RegistrationAuthority/13" TargetMode="External" Id="R514e6a8024694772" /><Relationship Type="http://schemas.openxmlformats.org/officeDocument/2006/relationships/hyperlink" Target="https://meteor-uat.aihw.gov.au/content/480531" TargetMode="External" Id="R4c9289c2d25145eb" /><Relationship Type="http://schemas.openxmlformats.org/officeDocument/2006/relationships/hyperlink" Target="https://meteor-uat.aihw.gov.au/RegistrationAuthority/13" TargetMode="External" Id="R227d5755c79a4eeb" /><Relationship Type="http://schemas.openxmlformats.org/officeDocument/2006/relationships/hyperlink" Target="https://meteor-uat.aihw.gov.au/content/497114" TargetMode="External" Id="R6828b01bb0a34bcd" /><Relationship Type="http://schemas.openxmlformats.org/officeDocument/2006/relationships/hyperlink" Target="https://meteor-uat.aihw.gov.au/content/497112" TargetMode="External" Id="R073c154ee3ad4ca1" /><Relationship Type="http://schemas.openxmlformats.org/officeDocument/2006/relationships/hyperlink" Target="https://meteor-uat.aihw.gov.au/content/498620" TargetMode="External" Id="R5e1a9fde2c8b4734" /><Relationship Type="http://schemas.openxmlformats.org/officeDocument/2006/relationships/hyperlink" Target="https://meteor-uat.aihw.gov.au/RegistrationAuthority/13" TargetMode="External" Id="Ra80fceb86faa473c" /><Relationship Type="http://schemas.openxmlformats.org/officeDocument/2006/relationships/hyperlink" Target="https://meteor-uat.aihw.gov.au/RegistrationAuthority/9" TargetMode="External" Id="Ra33ede7902054d08" /><Relationship Type="http://schemas.openxmlformats.org/officeDocument/2006/relationships/hyperlink" Target="https://meteor-uat.aihw.gov.au/content/497114" TargetMode="External" Id="R9c3944cb8c344e1d" /><Relationship Type="http://schemas.openxmlformats.org/officeDocument/2006/relationships/hyperlink" Target="https://meteor-uat.aihw.gov.au/content/497112" TargetMode="External" Id="R641d774a2a874a06" /><Relationship Type="http://schemas.openxmlformats.org/officeDocument/2006/relationships/hyperlink" Target="https://meteor-uat.aihw.gov.au/content/605352" TargetMode="External" Id="R5b6affad60d34f58" /><Relationship Type="http://schemas.openxmlformats.org/officeDocument/2006/relationships/hyperlink" Target="https://meteor-uat.aihw.gov.au/RegistrationAuthority/13" TargetMode="External" Id="R35c69abd72014255" /><Relationship Type="http://schemas.openxmlformats.org/officeDocument/2006/relationships/hyperlink" Target="https://meteor-uat.aihw.gov.au/content/463101" TargetMode="External" Id="Rbd6f7d7e9b544b89" /><Relationship Type="http://schemas.openxmlformats.org/officeDocument/2006/relationships/hyperlink" Target="https://meteor-uat.aihw.gov.au/RegistrationAuthority/13" TargetMode="External" Id="R49c970fd4159489c" /><Relationship Type="http://schemas.openxmlformats.org/officeDocument/2006/relationships/hyperlink" Target="https://meteor-uat.aihw.gov.au/content/480121" TargetMode="External" Id="Rff6b6f787cd140e6" /><Relationship Type="http://schemas.openxmlformats.org/officeDocument/2006/relationships/hyperlink" Target="https://meteor-uat.aihw.gov.au/RegistrationAuthority/13" TargetMode="External" Id="R353243a55c4e4acf" /><Relationship Type="http://schemas.openxmlformats.org/officeDocument/2006/relationships/hyperlink" Target="https://meteor-uat.aihw.gov.au/content/498639" TargetMode="External" Id="R36caea110a3044f5" /><Relationship Type="http://schemas.openxmlformats.org/officeDocument/2006/relationships/hyperlink" Target="https://meteor-uat.aihw.gov.au/RegistrationAuthority/13" TargetMode="External" Id="R469dd40789ef4d72" /><Relationship Type="http://schemas.openxmlformats.org/officeDocument/2006/relationships/hyperlink" Target="https://meteor-uat.aihw.gov.au/content/567326" TargetMode="External" Id="R08d608fee15a419f" /><Relationship Type="http://schemas.openxmlformats.org/officeDocument/2006/relationships/hyperlink" Target="https://meteor-uat.aihw.gov.au/RegistrationAuthority/13" TargetMode="External" Id="R4e0a07f70536446a" /><Relationship Type="http://schemas.openxmlformats.org/officeDocument/2006/relationships/hyperlink" Target="https://meteor-uat.aihw.gov.au/content/595348" TargetMode="External" Id="R08d2e056b4fb458c" /><Relationship Type="http://schemas.openxmlformats.org/officeDocument/2006/relationships/hyperlink" Target="https://meteor-uat.aihw.gov.au/RegistrationAuthority/13" TargetMode="External" Id="R956bef639c274377" /></Relationships>
</file>

<file path=word/_rels/header1.xml.rels>&#65279;<?xml version="1.0" encoding="utf-8"?><Relationships xmlns="http://schemas.openxmlformats.org/package/2006/relationships"><Relationship Type="http://schemas.openxmlformats.org/officeDocument/2006/relationships/image" Target="/media/image.png" Id="R2da8ac6eec014fc4" /></Relationships>
</file>