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8636e5848004233" /></Relationships>
</file>

<file path=word/document.xml><?xml version="1.0" encoding="utf-8"?>
<w:document xmlns:r="http://schemas.openxmlformats.org/officeDocument/2006/relationships" xmlns:w="http://schemas.openxmlformats.org/wordprocessingml/2006/main">
  <w:body>
    <w:p>
      <w:pPr>
        <w:pStyle w:val="Title"/>
      </w:pPr>
      <w:r>
        <w:t>Tenancy/vacancy cluster (Mainstream community housing)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Tenancy/vacancy cluster (Mainstream community housing)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463104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c4233f89e04afc">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file captures information about tenancies in housing provided for low to moderate income or special needs households. These dwellings are managed by community-based organisations that have received capital or recurrent subsidy from government. Community housing models vary across jurisdictions, and the housing stock may be owned by a variety of groups including government.</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fb8711f6c2ba4a75">
              <w:r>
                <w:rPr>
                  <w:rStyle w:val="Hyperlink"/>
                </w:rPr>
                <w:t xml:space="preserve">Dwelling</w:t>
              </w:r>
            </w:hyperlink>
            <w:r>
              <w:rPr>
                <w:rStyle w:val="row-content-rich-text"/>
              </w:rPr>
              <w:t xml:space="preserve">, </w:t>
            </w:r>
            <w:hyperlink w:tooltip="The unit of accommodation (dwelling or part of a dwelling) to which a rental agreement can be made." w:history="true" r:id="Rdef356e543684e2e">
              <w:r>
                <w:rPr>
                  <w:rStyle w:val="Hyperlink"/>
                  <w:b/>
                </w:rPr>
                <w:t xml:space="preserve">Tenancy rental unit</w:t>
              </w:r>
            </w:hyperlink>
            <w:r>
              <w:rPr>
                <w:rStyle w:val="row-content-rich-text"/>
              </w:rPr>
              <w:t xml:space="preserve"> and </w:t>
            </w:r>
          </w:p>
          <w:p>
            <w:hyperlink w:history="true" r:id="Rdc6665687ab146e6">
              <w:r>
                <w:rPr>
                  <w:rStyle w:val="Hyperlink"/>
                </w:rPr>
                <w:t xml:space="preserve">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is collected via a survey of community housing providers and forwarded to state or territory housing authorities.</w:t>
            </w:r>
          </w:p>
          <w:p>
            <w:pPr/>
            <w:r>
              <w:rPr>
                <w:rStyle w:val="row-content-rich-text"/>
              </w:rPr>
              <w:t xml:space="preserve">State and territory housing authorities provide the data to the Australian Institute of Health and Welfare for national collation on an annual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157b9efe0984946">
              <w:r>
                <w:rPr>
                  <w:rStyle w:val="Hyperlink"/>
                </w:rPr>
                <w:t xml:space="preserve">Mainstream community housing 2009-10</w:t>
              </w:r>
            </w:hyperlink>
          </w:p>
          <w:p>
            <w:pPr>
              <w:pStyle w:val="registration-status"/>
              <w:spacing w:before="0" w:after="0"/>
            </w:pPr>
            <w:hyperlink w:history="true" r:id="R0ab7c45f270d4cb3">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p>
          <w:p>
            <w:r>
              <w:rPr>
                <w:rStyle w:val="row-content"/>
                <w:b/>
                <w:i/>
              </w:rPr>
              <w:t xml:space="preserve">Conditional obligation: </w:t>
            </w:r>
            <w:r>
              <w:rPr>
                <w:rStyle w:val="row-content"/>
              </w:rPr>
              <w:t xml:space="preserve">This cluster is conditional on the basis of an active tenancy in mainstream community housing during the collection period.</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7c465746a345cd">
                    <w:r>
                      <w:rPr>
                        <w:rStyle w:val="Hyperlink"/>
                      </w:rPr>
                      <w:t xml:space="preserve">Centrelink income unit—Commonwealth Rent Assistance amount, total Australian currency N[NNNNN].NN</w:t>
                    </w:r>
                  </w:hyperlink>
                </w:p>
                <w:p>
                  <w:r>
                    <w:rPr>
                      <w:b/>
                      <w:i/>
                      <w:color w:val="333333"/>
                    </w:rPr>
                    <w:t xml:space="preserve">DSS specific information:</w:t>
                  </w:r>
                </w:p>
                <w:p>
                  <w:r>
                    <w:t xml:space="preserve">In the Community Housing 2009-10 collection the Commonwealth Rent Assistance (CRA) amount, is collected for the week of June 30th 2010.</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f1101eb02b439b">
                    <w:r>
                      <w:rPr>
                        <w:rStyle w:val="Hyperlink"/>
                      </w:rPr>
                      <w:t xml:space="preserve">Dwelling—date occupied, DDMMYYYY</w:t>
                    </w:r>
                  </w:hyperlink>
                </w:p>
                <w:p>
                  <w:r>
                    <w:rPr>
                      <w:b/>
                      <w:i/>
                      <w:color w:val="333333"/>
                    </w:rPr>
                    <w:t xml:space="preserve">DSS specific information:</w:t>
                  </w:r>
                </w:p>
                <w:p>
                  <w:r>
                    <w:t xml:space="preserve">In the Community Housing 2009-10 collection this item is used to collect the date the tenancy started or vacancy ended.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fbaf1d815a430f">
                    <w:r>
                      <w:rPr>
                        <w:rStyle w:val="Hyperlink"/>
                      </w:rPr>
                      <w:t xml:space="preserve">Dwelling—date vacated, DDMMYYYY</w:t>
                    </w:r>
                  </w:hyperlink>
                </w:p>
                <w:p>
                  <w:r>
                    <w:rPr>
                      <w:b/>
                      <w:i/>
                      <w:color w:val="333333"/>
                    </w:rPr>
                    <w:t xml:space="preserve">DSS specific information:</w:t>
                  </w:r>
                </w:p>
                <w:p>
                  <w:r>
                    <w:t xml:space="preserve">In the Community Housing 2009-10 collection this item is used to collect the date the tenancy ended or vacancy started.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d412071e22438b">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c655c8b1a446df">
                    <w:r>
                      <w:rPr>
                        <w:rStyle w:val="Hyperlink"/>
                      </w:rPr>
                      <w:t xml:space="preserve">Dwelling—number of bedrooms, total N[NN]</w:t>
                    </w:r>
                  </w:hyperlink>
                </w:p>
                <w:p>
                  <w:r>
                    <w:rPr>
                      <w:b/>
                      <w:i/>
                      <w:color w:val="333333"/>
                    </w:rPr>
                    <w:t xml:space="preserve">DSS specific information:</w:t>
                  </w:r>
                </w:p>
                <w:p>
                  <w:r>
                    <w:t xml:space="preserve">This data element counts the number of bedrooms in each tenancy agreement.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4a6b0252e84b79">
                    <w:r>
                      <w:rPr>
                        <w:rStyle w:val="Hyperlink"/>
                      </w:rPr>
                      <w:t xml:space="preserve">Dwelling—number of occupants, total people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ab9aa5978d4f56">
                    <w:r>
                      <w:rPr>
                        <w:rStyle w:val="Hyperlink"/>
                      </w:rPr>
                      <w:t xml:space="preserve">Dwelling—tenancy rental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352f7c278549f7">
                    <w:r>
                      <w:rPr>
                        <w:rStyle w:val="Hyperlink"/>
                      </w:rPr>
                      <w:t xml:space="preserve">Dwelling—tenantability status, code N</w:t>
                    </w:r>
                  </w:hyperlink>
                </w:p>
                <w:p>
                  <w:r>
                    <w:rPr>
                      <w:b/>
                      <w:i/>
                      <w:color w:val="333333"/>
                    </w:rPr>
                    <w:t xml:space="preserve">DSS specific information:</w:t>
                  </w:r>
                </w:p>
                <w:p>
                  <w:r>
                    <w:t xml:space="preserve">In the Community Housing 2009-10 collection 'unknown' is recorded as 'U', and should be mapped to '9=Not stated/Inadequately described".</w:t>
                  </w:r>
                </w:p>
                <w:p>
                  <w:r>
                    <w:t xml:space="preserve">Code 1 Yes = tenantable vacancy</w:t>
                  </w:r>
                </w:p>
                <w:p>
                  <w:r>
                    <w:t xml:space="preserve">Code 2 No = untentantable vacancy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12010469fd40e3">
                    <w:r>
                      <w:rPr>
                        <w:rStyle w:val="Hyperlink"/>
                      </w:rPr>
                      <w:t xml:space="preserve">Household—assessable income (weekly), total Australian currency N[NNNNN].NN</w:t>
                    </w:r>
                  </w:hyperlink>
                </w:p>
                <w:p>
                  <w:r>
                    <w:rPr>
                      <w:b/>
                      <w:i/>
                      <w:color w:val="333333"/>
                    </w:rPr>
                    <w:t xml:space="preserve">DSS specific information:</w:t>
                  </w:r>
                </w:p>
                <w:p>
                  <w:r>
                    <w:t xml:space="preserve">In the Community Housing 2009-10 collection, this item was collected for the week of June 30th 2010. Assessable income includes income from all sources (excluding Commonwealth Rent Assistance (CRA)) as specified and used by the agency to establish eligibility of a household for receipt of housing assistance.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cdb28e56a14d78">
                    <w:r>
                      <w:rPr>
                        <w:rStyle w:val="Hyperlink"/>
                      </w:rPr>
                      <w:t xml:space="preserve">Household—Australian state/territory identifier, code N</w:t>
                    </w:r>
                  </w:hyperlink>
                </w:p>
                <w:p>
                  <w:r>
                    <w:rPr>
                      <w:b/>
                      <w:i/>
                      <w:color w:val="333333"/>
                    </w:rPr>
                    <w:t xml:space="preserve">DSS specific information:</w:t>
                  </w:r>
                </w:p>
                <w:p>
                  <w:r>
                    <w:t xml:space="preserve">In the Community Housing 2009-10 collection the household state/territory identifer is recorded using the following abbreviations, as opposed to the full name used in this data element. The mapping table below indicates the relationship between the standard data element and the Community Housing collection's recorded values.</w:t>
                  </w:r>
                </w:p>
                <w:p>
                  <w:r>
                    <w:t xml:space="preserve"> </w:t>
                  </w:r>
                </w:p>
                <w:tbl>
                  <w:tblPr>
                    <w:tblStyle w:val="InnerTable"/>
                    <w:tblW w:w="0" w:type="auto"/>
                  </w:tblPr>
                  <w:tblGrid>
                    <w:gridCol/>
                    <w:gridCol/>
                    <w:gridCol/>
                  </w:tblGrid>
                  <w:tr>
                    <w:trPr/>
                    <w:tc>
                      <w:tcPr>
                        <w:vAlign w:val="top"/>
                      </w:tcPr>
                      <w:p>
                        <w:r>
                          <w:rPr>
                            <w:b/>
                          </w:rPr>
                          <w:t xml:space="preserve">METeOR Value</w:t>
                        </w:r>
                      </w:p>
                    </w:tc>
                    <w:tc>
                      <w:tcPr>
                        <w:vAlign w:val="top"/>
                      </w:tcPr>
                      <w:p>
                        <w:r>
                          <w:rPr>
                            <w:b/>
                          </w:rPr>
                          <w:t xml:space="preserve">METeor Label</w:t>
                        </w:r>
                      </w:p>
                    </w:tc>
                    <w:tc>
                      <w:tcPr>
                        <w:vAlign w:val="top"/>
                      </w:tcPr>
                      <w:p>
                        <w:r>
                          <w:rPr>
                            <w:b/>
                          </w:rPr>
                          <w:t xml:space="preserve">CHO Recorded Value</w:t>
                        </w:r>
                      </w:p>
                    </w:tc>
                  </w:tr>
                  <w:tr>
                    <w:trPr/>
                    <w:tc>
                      <w:tcPr>
                        <w:vAlign w:val="top"/>
                      </w:tcPr>
                      <w:p>
                        <w:r>
                          <w:t xml:space="preserve">1</w:t>
                        </w:r>
                      </w:p>
                    </w:tc>
                    <w:tc>
                      <w:tcPr>
                        <w:vAlign w:val="top"/>
                      </w:tcPr>
                      <w:p>
                        <w:r>
                          <w:t xml:space="preserve">New South Wales</w:t>
                        </w:r>
                      </w:p>
                    </w:tc>
                    <w:tc>
                      <w:tcPr>
                        <w:vAlign w:val="top"/>
                      </w:tcPr>
                      <w:p>
                        <w:r>
                          <w:t xml:space="preserve">NSW</w:t>
                        </w:r>
                      </w:p>
                    </w:tc>
                  </w:tr>
                  <w:tr>
                    <w:trPr/>
                    <w:tc>
                      <w:tcPr>
                        <w:vAlign w:val="top"/>
                      </w:tcPr>
                      <w:p>
                        <w:r>
                          <w:t xml:space="preserve">2</w:t>
                        </w:r>
                      </w:p>
                    </w:tc>
                    <w:tc>
                      <w:tcPr>
                        <w:vAlign w:val="top"/>
                      </w:tcPr>
                      <w:p>
                        <w:r>
                          <w:t xml:space="preserve">Victoria</w:t>
                        </w:r>
                      </w:p>
                    </w:tc>
                    <w:tc>
                      <w:tcPr>
                        <w:vAlign w:val="top"/>
                      </w:tcPr>
                      <w:p>
                        <w:r>
                          <w:t xml:space="preserve">Vic</w:t>
                        </w:r>
                      </w:p>
                    </w:tc>
                  </w:tr>
                  <w:tr>
                    <w:trPr/>
                    <w:tc>
                      <w:tcPr>
                        <w:vAlign w:val="top"/>
                      </w:tcPr>
                      <w:p>
                        <w:r>
                          <w:t xml:space="preserve">3</w:t>
                        </w:r>
                      </w:p>
                    </w:tc>
                    <w:tc>
                      <w:tcPr>
                        <w:vAlign w:val="top"/>
                      </w:tcPr>
                      <w:p>
                        <w:r>
                          <w:t xml:space="preserve">Queensland</w:t>
                        </w:r>
                      </w:p>
                    </w:tc>
                    <w:tc>
                      <w:tcPr>
                        <w:vAlign w:val="top"/>
                      </w:tcPr>
                      <w:p>
                        <w:r>
                          <w:t xml:space="preserve">Qld</w:t>
                        </w:r>
                      </w:p>
                    </w:tc>
                  </w:tr>
                  <w:tr>
                    <w:trPr/>
                    <w:tc>
                      <w:tcPr>
                        <w:vAlign w:val="top"/>
                      </w:tcPr>
                      <w:p>
                        <w:r>
                          <w:t xml:space="preserve">4</w:t>
                        </w:r>
                      </w:p>
                    </w:tc>
                    <w:tc>
                      <w:tcPr>
                        <w:vAlign w:val="top"/>
                      </w:tcPr>
                      <w:p>
                        <w:r>
                          <w:t xml:space="preserve">Western Australia</w:t>
                        </w:r>
                      </w:p>
                    </w:tc>
                    <w:tc>
                      <w:tcPr>
                        <w:vAlign w:val="top"/>
                      </w:tcPr>
                      <w:p>
                        <w:r>
                          <w:t xml:space="preserve">WA</w:t>
                        </w:r>
                      </w:p>
                    </w:tc>
                  </w:tr>
                  <w:tr>
                    <w:trPr/>
                    <w:tc>
                      <w:tcPr>
                        <w:vAlign w:val="top"/>
                      </w:tcPr>
                      <w:p>
                        <w:r>
                          <w:t xml:space="preserve">5</w:t>
                        </w:r>
                      </w:p>
                    </w:tc>
                    <w:tc>
                      <w:tcPr>
                        <w:vAlign w:val="top"/>
                      </w:tcPr>
                      <w:p>
                        <w:r>
                          <w:t xml:space="preserve">South Australia</w:t>
                        </w:r>
                      </w:p>
                    </w:tc>
                    <w:tc>
                      <w:tcPr>
                        <w:vAlign w:val="top"/>
                      </w:tcPr>
                      <w:p>
                        <w:r>
                          <w:t xml:space="preserve">SA</w:t>
                        </w:r>
                      </w:p>
                    </w:tc>
                  </w:tr>
                  <w:tr>
                    <w:trPr/>
                    <w:tc>
                      <w:tcPr>
                        <w:vAlign w:val="top"/>
                      </w:tcPr>
                      <w:p>
                        <w:r>
                          <w:t xml:space="preserve">6</w:t>
                        </w:r>
                      </w:p>
                    </w:tc>
                    <w:tc>
                      <w:tcPr>
                        <w:vAlign w:val="top"/>
                      </w:tcPr>
                      <w:p>
                        <w:r>
                          <w:t xml:space="preserve">Tasmania</w:t>
                        </w:r>
                      </w:p>
                    </w:tc>
                    <w:tc>
                      <w:tcPr>
                        <w:vAlign w:val="top"/>
                      </w:tcPr>
                      <w:p>
                        <w:r>
                          <w:t xml:space="preserve">Tas</w:t>
                        </w:r>
                      </w:p>
                    </w:tc>
                  </w:tr>
                  <w:tr>
                    <w:trPr/>
                    <w:tc>
                      <w:tcPr>
                        <w:vAlign w:val="top"/>
                      </w:tcPr>
                      <w:p>
                        <w:r>
                          <w:t xml:space="preserve">7</w:t>
                        </w:r>
                      </w:p>
                    </w:tc>
                    <w:tc>
                      <w:tcPr>
                        <w:vAlign w:val="top"/>
                      </w:tcPr>
                      <w:p>
                        <w:r>
                          <w:t xml:space="preserve">Australian Capital Territory</w:t>
                        </w:r>
                      </w:p>
                    </w:tc>
                    <w:tc>
                      <w:tcPr>
                        <w:vAlign w:val="top"/>
                      </w:tcPr>
                      <w:p>
                        <w:r>
                          <w:t xml:space="preserve">ACT</w:t>
                        </w:r>
                      </w:p>
                    </w:tc>
                  </w:tr>
                  <w:tr>
                    <w:trPr/>
                    <w:tc>
                      <w:tcPr>
                        <w:vAlign w:val="top"/>
                      </w:tcPr>
                      <w:p>
                        <w:r>
                          <w:t xml:space="preserve">8</w:t>
                        </w:r>
                      </w:p>
                    </w:tc>
                    <w:tc>
                      <w:tcPr>
                        <w:vAlign w:val="top"/>
                      </w:tcPr>
                      <w:p>
                        <w:r>
                          <w:t xml:space="preserve">Northern Territory</w:t>
                        </w:r>
                      </w:p>
                    </w:tc>
                    <w:tc>
                      <w:tcPr>
                        <w:vAlign w:val="top"/>
                      </w:tcPr>
                      <w:p>
                        <w:r>
                          <w:t xml:space="preserve">NT</w:t>
                        </w:r>
                      </w:p>
                    </w:tc>
                  </w:tr>
                  <w:tr>
                    <w:trPr/>
                    <w:tc>
                      <w:tcPr>
                        <w:vAlign w:val="top"/>
                      </w:tcPr>
                      <w:p>
                        <w:r>
                          <w:t xml:space="preserve">9</w:t>
                        </w:r>
                      </w:p>
                    </w:tc>
                    <w:tc>
                      <w:tcPr>
                        <w:vAlign w:val="top"/>
                      </w:tcPr>
                      <w:p>
                        <w:r>
                          <w:t xml:space="preserve">Other territories (Cocos (Keeling)</w:t>
                        </w:r>
                      </w:p>
                      <w:p>
                        <w:r>
                          <w:t xml:space="preserve">Islands, Christmas Island and Jervis</w:t>
                        </w:r>
                      </w:p>
                      <w:p>
                        <w:r>
                          <w:t xml:space="preserve">Bay Territory)</w:t>
                        </w:r>
                      </w:p>
                    </w:tc>
                    <w:tc>
                      <w:tcPr>
                        <w:vAlign w:val="top"/>
                      </w:tcPr>
                      <w:p>
                        <w:r>
                          <w:t xml:space="preserve">-</w:t>
                        </w:r>
                      </w:p>
                    </w:tc>
                  </w:tr>
                </w:tbl>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bfc2cd795044e4">
                    <w:r>
                      <w:rPr>
                        <w:rStyle w:val="Hyperlink"/>
                      </w:rPr>
                      <w:t xml:space="preserve">Household—disability status, yes/no code N</w:t>
                    </w:r>
                  </w:hyperlink>
                </w:p>
                <w:p>
                  <w:r>
                    <w:rPr>
                      <w:b/>
                      <w:i/>
                      <w:color w:val="333333"/>
                    </w:rPr>
                    <w:t xml:space="preserve">DSS specific information:</w:t>
                  </w:r>
                </w:p>
                <w:p>
                  <w:r>
                    <w:t xml:space="preserve">In the Community Housing 2009-10 collection 'unknown' is recorded as 'U', and should be mapped to '9=Not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9267b8a15946be">
                    <w:r>
                      <w:rPr>
                        <w:rStyle w:val="Hyperlink"/>
                      </w:rPr>
                      <w:t xml:space="preserve">Household—greatest need indicator, yes/no code N</w:t>
                    </w:r>
                  </w:hyperlink>
                </w:p>
                <w:p>
                  <w:r>
                    <w:rPr>
                      <w:b/>
                      <w:i/>
                      <w:color w:val="333333"/>
                    </w:rPr>
                    <w:t xml:space="preserve">DSS specific information:</w:t>
                  </w:r>
                </w:p>
                <w:p>
                  <w:r>
                    <w:t xml:space="preserve">In the Community Housing 2009-10 collection greatest needs households are households who were subject to one or more of the following circumstances:</w:t>
                  </w:r>
                </w:p>
                <w:p>
                  <w:pPr>
                    <w:pStyle w:val="ListParagraph"/>
                    <w:numPr>
                      <w:ilvl w:val="0"/>
                      <w:numId w:val="2"/>
                    </w:numPr>
                  </w:pPr>
                  <w:r>
                    <w:t xml:space="preserve">they were homeless; or</w:t>
                  </w:r>
                </w:p>
                <w:p>
                  <w:pPr>
                    <w:pStyle w:val="ListParagraph"/>
                    <w:numPr>
                      <w:ilvl w:val="0"/>
                      <w:numId w:val="2"/>
                    </w:numPr>
                  </w:pPr>
                  <w:r>
                    <w:t xml:space="preserve">their life or safety was at risk in their accommodation; or</w:t>
                  </w:r>
                </w:p>
                <w:p>
                  <w:pPr>
                    <w:pStyle w:val="ListParagraph"/>
                    <w:numPr>
                      <w:ilvl w:val="0"/>
                      <w:numId w:val="2"/>
                    </w:numPr>
                  </w:pPr>
                  <w:r>
                    <w:t xml:space="preserve">their health condition was aggravated by their housing; or</w:t>
                  </w:r>
                </w:p>
                <w:p>
                  <w:pPr>
                    <w:pStyle w:val="ListParagraph"/>
                    <w:numPr>
                      <w:ilvl w:val="0"/>
                      <w:numId w:val="2"/>
                    </w:numPr>
                  </w:pPr>
                  <w:r>
                    <w:t xml:space="preserve">their housing was inappropriate to their needs; or</w:t>
                  </w:r>
                </w:p>
                <w:p>
                  <w:pPr>
                    <w:pStyle w:val="ListParagraph"/>
                    <w:numPr>
                      <w:ilvl w:val="0"/>
                      <w:numId w:val="2"/>
                    </w:numPr>
                  </w:pPr>
                  <w:r>
                    <w:t xml:space="preserve">they had very high rental housing costs. </w:t>
                  </w:r>
                </w:p>
                <w:p>
                  <w:r>
                    <w:t xml:space="preserve">A homeless household for the greatest need definition is a household with no housing or a household residing in temporary or emergency accommodation. It includes households who:</w:t>
                  </w:r>
                </w:p>
                <w:p>
                  <w:pPr>
                    <w:pStyle w:val="ListParagraph"/>
                    <w:numPr>
                      <w:ilvl w:val="0"/>
                      <w:numId w:val="3"/>
                    </w:numPr>
                  </w:pPr>
                  <w:r>
                    <w:t xml:space="preserve">lived in accommodation provided by a specialist homelessness services agency or some other form of emergency accommodation;</w:t>
                  </w:r>
                </w:p>
                <w:p>
                  <w:pPr>
                    <w:pStyle w:val="ListParagraph"/>
                    <w:numPr>
                      <w:ilvl w:val="0"/>
                      <w:numId w:val="3"/>
                    </w:numPr>
                  </w:pPr>
                  <w:r>
                    <w:t xml:space="preserve">were totally without permanent shelter;</w:t>
                  </w:r>
                </w:p>
                <w:p>
                  <w:pPr>
                    <w:pStyle w:val="ListParagraph"/>
                    <w:numPr>
                      <w:ilvl w:val="0"/>
                      <w:numId w:val="3"/>
                    </w:numPr>
                  </w:pPr>
                  <w:r>
                    <w:t xml:space="preserve">lived in shelter that was unlawful such as those who were forced to squat in derelict buildings; or</w:t>
                  </w:r>
                </w:p>
                <w:p>
                  <w:pPr>
                    <w:pStyle w:val="ListParagraph"/>
                    <w:numPr>
                      <w:ilvl w:val="0"/>
                      <w:numId w:val="3"/>
                    </w:numPr>
                  </w:pPr>
                  <w:r>
                    <w:t xml:space="preserve">stayed temporarily with friends or relatives in the short term.</w:t>
                  </w:r>
                </w:p>
                <w:p>
                  <w:r>
                    <w:t xml:space="preserve">In the Community Housing collection 'unknown' records should be mapped to '9 - Not stated/Inadequately described'. This item determines whether the household is assessed as being in greatest need at the time of allocation.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1eb696f8db4c90">
                    <w:r>
                      <w:rPr>
                        <w:rStyle w:val="Hyperlink"/>
                      </w:rPr>
                      <w:t xml:space="preserve">Household—gross income (weekly), total Australian currency N[NNNNN].NN</w:t>
                    </w:r>
                  </w:hyperlink>
                </w:p>
                <w:p>
                  <w:r>
                    <w:rPr>
                      <w:b/>
                      <w:i/>
                      <w:color w:val="333333"/>
                    </w:rPr>
                    <w:t xml:space="preserve">DSS specific information:</w:t>
                  </w:r>
                </w:p>
                <w:p>
                  <w:r>
                    <w:t xml:space="preserve">In the Community Housing 2009-10 collection, this item was collected for the week of June 30th 2010. The gross weekly income excludes Commonwealth Rent Assistance (CRA).</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830b715c5640bd">
                    <w:r>
                      <w:rPr>
                        <w:rStyle w:val="Hyperlink"/>
                      </w:rPr>
                      <w:t xml:space="preserve">Household—homeless prior to allocation indicator, yes/no code N</w:t>
                    </w:r>
                  </w:hyperlink>
                </w:p>
                <w:p>
                  <w:r>
                    <w:rPr>
                      <w:b/>
                      <w:i/>
                      <w:color w:val="333333"/>
                    </w:rPr>
                    <w:t xml:space="preserve">DSS specific information:</w:t>
                  </w:r>
                </w:p>
                <w:p>
                  <w:r>
                    <w:t xml:space="preserve">In the Community Housing 2009-10 collection 'unknown' is recorded as 'U', and should be mapped to '9=Not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ea81a1be9546e7">
                    <w:r>
                      <w:rPr>
                        <w:rStyle w:val="Hyperlink"/>
                      </w:rPr>
                      <w:t xml:space="preserve">Household—household composition, housing assistance code N</w:t>
                    </w:r>
                  </w:hyperlink>
                </w:p>
                <w:p>
                  <w:r>
                    <w:rPr>
                      <w:b/>
                      <w:i/>
                      <w:color w:val="333333"/>
                    </w:rPr>
                    <w:t xml:space="preserve">DSS specific information:</w:t>
                  </w:r>
                </w:p>
                <w:p>
                  <w:r>
                    <w:t xml:space="preserve">In the Community Housing 2009-10 collection 'unknown' is recorded as 'U', and should be mapped to '9=Not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94d6ff89f04006">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c8a784855a4acb">
                    <w:r>
                      <w:rPr>
                        <w:rStyle w:val="Hyperlink"/>
                      </w:rPr>
                      <w:t xml:space="preserve">Household—Indigenous status, yes/no code N</w:t>
                    </w:r>
                  </w:hyperlink>
                </w:p>
                <w:p>
                  <w:r>
                    <w:rPr>
                      <w:b/>
                      <w:i/>
                      <w:color w:val="333333"/>
                    </w:rPr>
                    <w:t xml:space="preserve">DSS specific information:</w:t>
                  </w:r>
                </w:p>
                <w:p>
                  <w:r>
                    <w:t xml:space="preserve">In the Community Housing 2009-10 collection 'unknown' is recorded as 'U', and should be mapped to '9=Not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6558ad7f7e4ff6">
                    <w:r>
                      <w:rPr>
                        <w:rStyle w:val="Hyperlink"/>
                      </w:rPr>
                      <w:t xml:space="preserve">Household—main language other than English spoken at home, yes/no code N</w:t>
                    </w:r>
                  </w:hyperlink>
                </w:p>
                <w:p>
                  <w:r>
                    <w:rPr>
                      <w:b/>
                      <w:i/>
                      <w:color w:val="333333"/>
                    </w:rPr>
                    <w:t xml:space="preserve">DSS specific information:</w:t>
                  </w:r>
                </w:p>
                <w:p>
                  <w:r>
                    <w:t xml:space="preserve">In the Community Housing 2009-10 collection 'unknown' is recorded as 'U', and should be mapped to '9=Not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ff797edc2e4148">
                    <w:r>
                      <w:rPr>
                        <w:rStyle w:val="Hyperlink"/>
                      </w:rPr>
                      <w:t xml:space="preserve">Household—market value of rent paid indicator, yes/no code N</w:t>
                    </w:r>
                  </w:hyperlink>
                </w:p>
                <w:p>
                  <w:r>
                    <w:rPr>
                      <w:b/>
                      <w:i/>
                      <w:color w:val="333333"/>
                    </w:rPr>
                    <w:t xml:space="preserve">DSS specific information:</w:t>
                  </w:r>
                </w:p>
                <w:p>
                  <w:r>
                    <w:t xml:space="preserve">In the Community Housing 2009-10 collection 'unknown' is recorded as 'U', and should be mapped to '9=Not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13c541276c43a6">
                    <w:r>
                      <w:rPr>
                        <w:rStyle w:val="Hyperlink"/>
                      </w:rPr>
                      <w:t xml:space="preserve">Household—principal source of cash income, community housing code N</w:t>
                    </w:r>
                  </w:hyperlink>
                </w:p>
                <w:p>
                  <w:r>
                    <w:rPr>
                      <w:b/>
                      <w:i/>
                      <w:color w:val="333333"/>
                    </w:rPr>
                    <w:t xml:space="preserve">DSS specific information:</w:t>
                  </w:r>
                </w:p>
                <w:p>
                  <w:r>
                    <w:t xml:space="preserve">In the Community Housing 2009-10 collection 'Other' is recorded as '3' and 'Unknown' is recorded as 'U', they should be mapped to '8' and '9' respectively.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3ed475504d4a9a">
                    <w:r>
                      <w:rPr>
                        <w:rStyle w:val="Hyperlink"/>
                      </w:rPr>
                      <w:t xml:space="preserve">Household—rent charged (weekly), total Australian currency N[NNNNN].NN</w:t>
                    </w:r>
                  </w:hyperlink>
                </w:p>
                <w:p>
                  <w:r>
                    <w:rPr>
                      <w:b/>
                      <w:i/>
                      <w:color w:val="333333"/>
                    </w:rPr>
                    <w:t xml:space="preserve">DSS specific information:</w:t>
                  </w:r>
                </w:p>
                <w:p>
                  <w:r>
                    <w:t xml:space="preserve">In the Community Housing 2009-10 collection, this item was collected for the week of June 30th 2010. The rent charged is the amount of money the household has been asked to pay. It may differ from market rent and may not have been received. The amount of rent charged should exclude Commonwealth Rent Assistance (CRA), charges for utilities, meals, cleaning, laundry or other facility costs in the rent charged to tenant.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b308c1532e4acb">
                    <w:r>
                      <w:rPr>
                        <w:rStyle w:val="Hyperlink"/>
                      </w:rPr>
                      <w:t xml:space="preserve">Household—transfer status (financial year), Yes/no code N</w:t>
                    </w:r>
                  </w:hyperlink>
                </w:p>
                <w:p>
                  <w:r>
                    <w:rPr>
                      <w:b/>
                      <w:i/>
                      <w:color w:val="333333"/>
                    </w:rPr>
                    <w:t xml:space="preserve">DSS specific information:</w:t>
                  </w:r>
                </w:p>
                <w:p>
                  <w:r>
                    <w:t xml:space="preserve">In the Community Housing 2009-10 collection unknown is recorded as "U" and should be mapped to "99"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97024fabb84695">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3854d55d76544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463104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b09825374745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854d55d765448d" /><Relationship Type="http://schemas.openxmlformats.org/officeDocument/2006/relationships/header" Target="/word/header1.xml" Id="R81d958753aa14999" /><Relationship Type="http://schemas.openxmlformats.org/officeDocument/2006/relationships/settings" Target="/word/settings.xml" Id="Rf2bbe604461d4e9d" /><Relationship Type="http://schemas.openxmlformats.org/officeDocument/2006/relationships/styles" Target="/word/styles.xml" Id="Rf20e9e98b98949bf" /><Relationship Type="http://schemas.openxmlformats.org/officeDocument/2006/relationships/numbering" Target="/word/numbering.xml" Id="Rc0cef30b5e1a48d5" /><Relationship Type="http://schemas.openxmlformats.org/officeDocument/2006/relationships/hyperlink" Target="https://meteor-uat.aihw.gov.au/RegistrationAuthority/13" TargetMode="External" Id="Rd4c4233f89e04afc" /><Relationship Type="http://schemas.openxmlformats.org/officeDocument/2006/relationships/hyperlink" Target="https://meteor-uat.aihw.gov.au/content/268982" TargetMode="External" Id="Rfb8711f6c2ba4a75" /><Relationship Type="http://schemas.openxmlformats.org/officeDocument/2006/relationships/hyperlink" Target="https://meteor-uat.aihw.gov.au/content/464221" TargetMode="External" Id="Rdef356e543684e2e" /><Relationship Type="http://schemas.openxmlformats.org/officeDocument/2006/relationships/hyperlink" Target="https://meteor-uat.aihw.gov.au/content/268977" TargetMode="External" Id="Rdc6665687ab146e6" /><Relationship Type="http://schemas.openxmlformats.org/officeDocument/2006/relationships/hyperlink" Target="https://meteor-uat.aihw.gov.au/content/463113" TargetMode="External" Id="R2157b9efe0984946" /><Relationship Type="http://schemas.openxmlformats.org/officeDocument/2006/relationships/hyperlink" Target="https://meteor-uat.aihw.gov.au/RegistrationAuthority/13" TargetMode="External" Id="R0ab7c45f270d4cb3" /><Relationship Type="http://schemas.openxmlformats.org/officeDocument/2006/relationships/hyperlink" Target="https://meteor-uat.aihw.gov.au/content/270141" TargetMode="External" Id="R967c465746a345cd" /><Relationship Type="http://schemas.openxmlformats.org/officeDocument/2006/relationships/hyperlink" Target="https://meteor-uat.aihw.gov.au/content/302845" TargetMode="External" Id="Ra6f1101eb02b439b" /><Relationship Type="http://schemas.openxmlformats.org/officeDocument/2006/relationships/hyperlink" Target="https://meteor-uat.aihw.gov.au/content/302854" TargetMode="External" Id="Rd4fbaf1d815a430f" /><Relationship Type="http://schemas.openxmlformats.org/officeDocument/2006/relationships/hyperlink" Target="https://meteor-uat.aihw.gov.au/content/302656" TargetMode="External" Id="R68d412071e22438b" /><Relationship Type="http://schemas.openxmlformats.org/officeDocument/2006/relationships/hyperlink" Target="https://meteor-uat.aihw.gov.au/content/302513" TargetMode="External" Id="Rb0c655c8b1a446df" /><Relationship Type="http://schemas.openxmlformats.org/officeDocument/2006/relationships/hyperlink" Target="https://meteor-uat.aihw.gov.au/content/443880" TargetMode="External" Id="Raa4a6b0252e84b79" /><Relationship Type="http://schemas.openxmlformats.org/officeDocument/2006/relationships/hyperlink" Target="https://meteor-uat.aihw.gov.au/content/387586" TargetMode="External" Id="Rd5ab9aa5978d4f56" /><Relationship Type="http://schemas.openxmlformats.org/officeDocument/2006/relationships/hyperlink" Target="https://meteor-uat.aihw.gov.au/content/302930" TargetMode="External" Id="Ra8352f7c278549f7" /><Relationship Type="http://schemas.openxmlformats.org/officeDocument/2006/relationships/hyperlink" Target="https://meteor-uat.aihw.gov.au/content/462194" TargetMode="External" Id="Rb412010469fd40e3" /><Relationship Type="http://schemas.openxmlformats.org/officeDocument/2006/relationships/hyperlink" Target="https://meteor-uat.aihw.gov.au/content/385981" TargetMode="External" Id="R76cdb28e56a14d78" /><Relationship Type="http://schemas.openxmlformats.org/officeDocument/2006/relationships/hyperlink" Target="https://meteor-uat.aihw.gov.au/content/302949" TargetMode="External" Id="R60bfc2cd795044e4" /><Relationship Type="http://schemas.openxmlformats.org/officeDocument/2006/relationships/hyperlink" Target="https://meteor-uat.aihw.gov.au/content/456559" TargetMode="External" Id="R379267b8a15946be" /><Relationship Type="http://schemas.openxmlformats.org/officeDocument/2006/relationships/hyperlink" Target="https://meteor-uat.aihw.gov.au/content/452645" TargetMode="External" Id="R681eb696f8db4c90" /><Relationship Type="http://schemas.openxmlformats.org/officeDocument/2006/relationships/hyperlink" Target="https://meteor-uat.aihw.gov.au/content/462714" TargetMode="External" Id="Rcb830b715c5640bd" /><Relationship Type="http://schemas.openxmlformats.org/officeDocument/2006/relationships/hyperlink" Target="https://meteor-uat.aihw.gov.au/content/455623" TargetMode="External" Id="R12ea81a1be9546e7" /><Relationship Type="http://schemas.openxmlformats.org/officeDocument/2006/relationships/hyperlink" Target="https://meteor-uat.aihw.gov.au/content/302662" TargetMode="External" Id="R2c94d6ff89f04006" /><Relationship Type="http://schemas.openxmlformats.org/officeDocument/2006/relationships/hyperlink" Target="https://meteor-uat.aihw.gov.au/content/460738" TargetMode="External" Id="R5bc8a784855a4acb" /><Relationship Type="http://schemas.openxmlformats.org/officeDocument/2006/relationships/hyperlink" Target="https://meteor-uat.aihw.gov.au/content/444290" TargetMode="External" Id="R9f6558ad7f7e4ff6" /><Relationship Type="http://schemas.openxmlformats.org/officeDocument/2006/relationships/hyperlink" Target="https://meteor-uat.aihw.gov.au/content/443376" TargetMode="External" Id="Rf1ff797edc2e4148" /><Relationship Type="http://schemas.openxmlformats.org/officeDocument/2006/relationships/hyperlink" Target="https://meteor-uat.aihw.gov.au/content/462758" TargetMode="External" Id="Rb213c541276c43a6" /><Relationship Type="http://schemas.openxmlformats.org/officeDocument/2006/relationships/hyperlink" Target="https://meteor-uat.aihw.gov.au/content/302600" TargetMode="External" Id="R9f3ed475504d4a9a" /><Relationship Type="http://schemas.openxmlformats.org/officeDocument/2006/relationships/hyperlink" Target="https://meteor-uat.aihw.gov.au/content/301987" TargetMode="External" Id="R4cb308c1532e4acb" /><Relationship Type="http://schemas.openxmlformats.org/officeDocument/2006/relationships/hyperlink" Target="https://meteor-uat.aihw.gov.au/content/414987" TargetMode="External" Id="R7497024fabb84695" /></Relationships>
</file>

<file path=word/_rels/header1.xml.rels>&#65279;<?xml version="1.0" encoding="utf-8"?><Relationships xmlns="http://schemas.openxmlformats.org/package/2006/relationships"><Relationship Type="http://schemas.openxmlformats.org/officeDocument/2006/relationships/image" Target="/media/image.png" Id="Rfdb098253747458d" /></Relationships>
</file>