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16331d6d6437f"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a030a29aeeb4e1c">
                    <w:r>
                      <w:rPr>
                        <w:rStyle w:val="Hyperlink"/>
                      </w:rPr>
                      <w:t xml:space="preserve">Address line (service provider organisation)</w:t>
                    </w:r>
                  </w:hyperlink>
                </w:p>
              </w:tc>
              <w:tc>
                <w:tcPr>
                  <w:vAlign w:val="top"/>
                </w:tcPr>
                <w:p>
                  <w:r>
                    <w:t xml:space="preserve">463280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e50c0aba0404f59">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acea0e6705c480d">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709bc9c437e4018">
                    <w:r>
                      <w:rPr>
                        <w:rStyle w:val="Hyperlink"/>
                      </w:rPr>
                      <w:t xml:space="preserve">Boarding house unit indicator</w:t>
                    </w:r>
                  </w:hyperlink>
                </w:p>
              </w:tc>
              <w:tc>
                <w:tcPr>
                  <w:vAlign w:val="top"/>
                </w:tcPr>
                <w:p>
                  <w:r>
                    <w:t xml:space="preserve">464180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03e8c11ea7c45d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816a68d876e4fa8">
                    <w:r>
                      <w:rPr>
                        <w:rStyle w:val="Hyperlink"/>
                      </w:rPr>
                      <w:t xml:space="preserve">Community housing program type</w:t>
                    </w:r>
                  </w:hyperlink>
                </w:p>
              </w:tc>
              <w:tc>
                <w:tcPr>
                  <w:vAlign w:val="top"/>
                </w:tcPr>
                <w:p>
                  <w:r>
                    <w:t xml:space="preserve">462619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a8b46573eb4a44">
                    <w:r>
                      <w:rPr>
                        <w:rStyle w:val="Hyperlink"/>
                      </w:rPr>
                      <w:t xml:space="preserve">Community housing program type</w:t>
                    </w:r>
                  </w:hyperlink>
                </w:p>
              </w:tc>
              <w:tc>
                <w:tcPr>
                  <w:vAlign w:val="top"/>
                </w:tcPr>
                <w:p>
                  <w:r>
                    <w:t xml:space="preserve">462619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29023b2e5044ba">
                    <w:r>
                      <w:rPr>
                        <w:rStyle w:val="Hyperlink"/>
                      </w:rPr>
                      <w:t xml:space="preserve">Number of bedrooms</w:t>
                    </w:r>
                  </w:hyperlink>
                </w:p>
              </w:tc>
              <w:tc>
                <w:tcPr>
                  <w:vAlign w:val="top"/>
                </w:tcPr>
                <w:p>
                  <w:r>
                    <w:t xml:space="preserve">302513</w:t>
                  </w:r>
                </w:p>
              </w:tc>
              <w:tc>
                <w:tcPr>
                  <w:vAlign w:val="top"/>
                </w:tcPr>
                <w:p>
                  <w:r>
                    <w:t xml:space="preserve">Number
[3]</w:t>
                  </w:r>
                </w:p>
              </w:tc>
              <w:tc>
                <w:tcPr>
                  <w:vAlign w:val="top"/>
                </w:tcPr>
                <w:p>
                  <w:r>
                    <w:t xml:space="preserve">N[NN]</w:t>
                  </w:r>
                  <w:r>
                    <w:br/>
                  </w:r>
                  <w:r>
                    <w:t xml:space="preserve">Total number of bedrooms.</w:t>
                  </w:r>
                </w:p>
              </w:tc>
            </w:tr>
            <w:tr>
              <w:trPr/>
              <w:tc>
                <w:tcPr>
                  <w:tcMar>
                    <w:right w:w="29" w:type="dxa"/>
                  </w:tcMar>
                  <w:vAlign w:val="top"/>
                </w:tcPr>
                <w:p>
                  <w:pPr>
                    <w:keepNext/>
                    <w:jc w:val="center"/>
                  </w:pPr>
                  <w:r>
                    <w:t xml:space="preserve">-</w:t>
                  </w:r>
                </w:p>
              </w:tc>
              <w:tc>
                <w:tcPr>
                  <w:tcMar/>
                  <w:vAlign w:val="top"/>
                </w:tcPr>
                <w:p>
                  <w:hyperlink w:history="true" r:id="R24c960eb9e2f4c72">
                    <w:r>
                      <w:rPr>
                        <w:rStyle w:val="Hyperlink"/>
                      </w:rPr>
                      <w:t xml:space="preserve">Number of tenancies at full capacity</w:t>
                    </w:r>
                  </w:hyperlink>
                </w:p>
              </w:tc>
              <w:tc>
                <w:tcPr>
                  <w:vAlign w:val="top"/>
                </w:tcPr>
                <w:p>
                  <w:r>
                    <w:t xml:space="preserve">444112</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902f4ce353364420">
                    <w:r>
                      <w:rPr>
                        <w:rStyle w:val="Hyperlink"/>
                      </w:rPr>
                      <w:t xml:space="preserve">Number of tenancies</w:t>
                    </w:r>
                  </w:hyperlink>
                </w:p>
              </w:tc>
              <w:tc>
                <w:tcPr>
                  <w:vAlign w:val="top"/>
                </w:tcPr>
                <w:p>
                  <w:r>
                    <w:t xml:space="preserve">462657</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178132e641444b41">
                    <w:r>
                      <w:rPr>
                        <w:rStyle w:val="Hyperlink"/>
                      </w:rPr>
                      <w:t xml:space="preserve">Tenantable vacancies</w:t>
                    </w:r>
                  </w:hyperlink>
                </w:p>
              </w:tc>
              <w:tc>
                <w:tcPr>
                  <w:vAlign w:val="top"/>
                </w:tcPr>
                <w:p>
                  <w:r>
                    <w:t xml:space="preserve">462638</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9ff450b6c1f14f58">
                    <w:r>
                      <w:rPr>
                        <w:rStyle w:val="Hyperlink"/>
                      </w:rPr>
                      <w:t xml:space="preserve">Untenantable vacancies</w:t>
                    </w:r>
                  </w:hyperlink>
                </w:p>
              </w:tc>
              <w:tc>
                <w:tcPr>
                  <w:vAlign w:val="top"/>
                </w:tcPr>
                <w:p>
                  <w:r>
                    <w:t xml:space="preserve">444189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09622344db644a80">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b75a984eb94b25">
                    <w:r>
                      <w:rPr>
                        <w:rStyle w:val="Hyperlink"/>
                      </w:rPr>
                      <w:t xml:space="preserve">Suburb/town/locality name (dwelling)</w:t>
                    </w:r>
                  </w:hyperlink>
                </w:p>
              </w:tc>
              <w:tc>
                <w:tcPr>
                  <w:vAlign w:val="top"/>
                </w:tcPr>
                <w:p>
                  <w:r>
                    <w:t xml:space="preserve">385244</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1bc197d446804c2b">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b89ad89a0a964d7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900f44e1e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ad89a0a964d71" /><Relationship Type="http://schemas.openxmlformats.org/officeDocument/2006/relationships/header" Target="/word/header1.xml" Id="Rf8d1a600cf2b4839" /><Relationship Type="http://schemas.openxmlformats.org/officeDocument/2006/relationships/settings" Target="/word/settings.xml" Id="R2b04d29fffe44f1e" /><Relationship Type="http://schemas.openxmlformats.org/officeDocument/2006/relationships/styles" Target="/word/styles.xml" Id="Rda4a1c827fed41cc" /><Relationship Type="http://schemas.openxmlformats.org/officeDocument/2006/relationships/hyperlink" Target="https://meteor-uat.aihw.gov.au/content/463280" TargetMode="External" Id="Rba030a29aeeb4e1c" /><Relationship Type="http://schemas.openxmlformats.org/officeDocument/2006/relationships/hyperlink" Target="https://meteor-uat.aihw.gov.au/content/302040" TargetMode="External" Id="R1e50c0aba0404f59" /><Relationship Type="http://schemas.openxmlformats.org/officeDocument/2006/relationships/hyperlink" Target="https://meteor-uat.aihw.gov.au/content/302044" TargetMode="External" Id="R1acea0e6705c480d" /><Relationship Type="http://schemas.openxmlformats.org/officeDocument/2006/relationships/hyperlink" Target="https://meteor-uat.aihw.gov.au/content/464180" TargetMode="External" Id="R5709bc9c437e4018" /><Relationship Type="http://schemas.openxmlformats.org/officeDocument/2006/relationships/hyperlink" Target="https://meteor-uat.aihw.gov.au/content/302656" TargetMode="External" Id="R703e8c11ea7c45d7" /><Relationship Type="http://schemas.openxmlformats.org/officeDocument/2006/relationships/hyperlink" Target="https://meteor-uat.aihw.gov.au/content/462619" TargetMode="External" Id="Re816a68d876e4fa8" /><Relationship Type="http://schemas.openxmlformats.org/officeDocument/2006/relationships/hyperlink" Target="https://meteor-uat.aihw.gov.au/content/462619" TargetMode="External" Id="Rbaa8b46573eb4a44" /><Relationship Type="http://schemas.openxmlformats.org/officeDocument/2006/relationships/hyperlink" Target="https://meteor-uat.aihw.gov.au/content/302513" TargetMode="External" Id="R8429023b2e5044ba" /><Relationship Type="http://schemas.openxmlformats.org/officeDocument/2006/relationships/hyperlink" Target="https://meteor-uat.aihw.gov.au/content/444112" TargetMode="External" Id="R24c960eb9e2f4c72" /><Relationship Type="http://schemas.openxmlformats.org/officeDocument/2006/relationships/hyperlink" Target="https://meteor-uat.aihw.gov.au/content/462657" TargetMode="External" Id="R902f4ce353364420" /><Relationship Type="http://schemas.openxmlformats.org/officeDocument/2006/relationships/hyperlink" Target="https://meteor-uat.aihw.gov.au/content/462638" TargetMode="External" Id="R178132e641444b41" /><Relationship Type="http://schemas.openxmlformats.org/officeDocument/2006/relationships/hyperlink" Target="https://meteor-uat.aihw.gov.au/content/444189" TargetMode="External" Id="R9ff450b6c1f14f58" /><Relationship Type="http://schemas.openxmlformats.org/officeDocument/2006/relationships/hyperlink" Target="https://meteor-uat.aihw.gov.au/content/270125" TargetMode="External" Id="R09622344db644a80" /><Relationship Type="http://schemas.openxmlformats.org/officeDocument/2006/relationships/hyperlink" Target="https://meteor-uat.aihw.gov.au/content/385244" TargetMode="External" Id="R63b75a984eb94b25" /><Relationship Type="http://schemas.openxmlformats.org/officeDocument/2006/relationships/hyperlink" Target="https://meteor-uat.aihw.gov.au/content/414987" TargetMode="External" Id="R1bc197d446804c2b" /></Relationships>
</file>

<file path=word/_rels/header1.xml.rels>&#65279;<?xml version="1.0" encoding="utf-8"?><Relationships xmlns="http://schemas.openxmlformats.org/package/2006/relationships"><Relationship Type="http://schemas.openxmlformats.org/officeDocument/2006/relationships/image" Target="/media/image.png" Id="R341900f44e1e4d03" /></Relationships>
</file>