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b6cba13bc4a9d"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f5b85cd814979">
              <w:r>
                <w:rPr>
                  <w:rStyle w:val="Hyperlink"/>
                  <w:color w:val="244061"/>
                </w:rPr>
                <w:t xml:space="preserve">Housing assistance</w:t>
              </w:r>
            </w:hyperlink>
            <w:r>
              <w:rPr>
                <w:rStyle w:val="row-content"/>
                <w:color w:val="244061"/>
              </w:rPr>
              <w:t xml:space="preserve">, Standard 01/05/2013</w:t>
            </w:r>
          </w:p>
          <w:p>
            <w:pPr>
              <w:spacing w:before="0" w:after="0"/>
            </w:pPr>
            <w:hyperlink w:history="true" r:id="Rb02b84b3ecf24d95">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86fcf6ff274405">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956ed739d4a4f">
              <w:r>
                <w:rPr>
                  <w:rStyle w:val="Hyperlink"/>
                </w:rPr>
                <w:t xml:space="preserve">Support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living support</w:t>
            </w:r>
          </w:p>
          <w:p>
            <w:pPr>
              <w:spacing w:after="160"/>
            </w:pPr>
            <w:r>
              <w:rPr>
                <w:rStyle w:val="row-content-rich-text"/>
              </w:rPr>
              <w:t xml:space="preserve">Covers assistance that provides support for personal or social functioning in daily life. 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2   Personal support</w:t>
            </w:r>
          </w:p>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3   Community living support</w:t>
            </w:r>
          </w:p>
          <w:p>
            <w:pPr>
              <w:spacing w:after="160"/>
            </w:pP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4   Support for children, families and carers</w:t>
            </w:r>
          </w:p>
          <w:p>
            <w:pPr>
              <w:spacing w:after="160"/>
            </w:pP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5   Training, vocational rehabilitation and employment</w:t>
            </w:r>
          </w:p>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6   Financial and material assistance</w:t>
            </w:r>
          </w:p>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7   Information, advice and referral</w:t>
            </w:r>
          </w:p>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88   Other</w:t>
            </w:r>
          </w:p>
          <w:p>
            <w:pPr>
              <w:spacing w:after="160"/>
            </w:pPr>
            <w:r>
              <w:rPr>
                <w:rStyle w:val="row-content-rich-text"/>
              </w:rPr>
              <w:t xml:space="preserve">Covers any other areas of assistance able to be offered to a household or tenant.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those areas for which a service provider organisation did not directly provide the assistance, but ensured the links to appropriate support services were established and maintained.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84fbb995a847e8">
              <w:r>
                <w:rPr>
                  <w:rStyle w:val="Hyperlink"/>
                </w:rPr>
                <w:t xml:space="preserve">Community housing provider—support service type, code N[N(7)]</w:t>
              </w:r>
            </w:hyperlink>
          </w:p>
          <w:p>
            <w:pPr>
              <w:pStyle w:val="registration-status"/>
              <w:spacing w:before="0" w:after="0"/>
            </w:pPr>
            <w:hyperlink w:history="true" r:id="R60c628ceb4c548d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10430338114022">
              <w:r>
                <w:rPr>
                  <w:rStyle w:val="Hyperlink"/>
                </w:rPr>
                <w:t xml:space="preserve">Service provider organisation support type cluster</w:t>
              </w:r>
            </w:hyperlink>
          </w:p>
          <w:p>
            <w:pPr>
              <w:pStyle w:val="registration-status"/>
              <w:spacing w:before="0" w:after="0"/>
            </w:pPr>
            <w:hyperlink w:history="true" r:id="Rda74c4b71f8b49fc">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Conditional on 'yes' being recorded for </w:t>
            </w:r>
            <w:hyperlink w:history="true" r:id="Ra795a5ff17bd42d0">
              <w:r>
                <w:rPr>
                  <w:rStyle w:val="Hyperlink"/>
                </w:rPr>
                <w:t xml:space="preserve">Service provider organisation—support service type indicator, yes/no code N</w:t>
              </w:r>
            </w:hyperlink>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eb562e2a0aad43f0">
              <w:r>
                <w:rPr>
                  <w:rStyle w:val="Hyperlink"/>
                </w:rPr>
                <w:t xml:space="preserve">Service provider organisation support type cluster</w:t>
              </w:r>
            </w:hyperlink>
          </w:p>
          <w:p>
            <w:pPr>
              <w:pStyle w:val="registration-status"/>
              <w:spacing w:before="0" w:after="0"/>
            </w:pPr>
            <w:hyperlink w:history="true" r:id="R203289081a6d4083">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'yes' being recorded for the </w:t>
            </w:r>
            <w:hyperlink w:history="true" r:id="Rf7c4e6243ced4ebf">
              <w:r>
                <w:rPr>
                  <w:rStyle w:val="Hyperlink"/>
                </w:rPr>
                <w:t xml:space="preserve">Service provider organisation—assistance/support other than housing assistance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6e460dd45909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3c996227d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60dd4590943ad" /><Relationship Type="http://schemas.openxmlformats.org/officeDocument/2006/relationships/header" Target="/word/header1.xml" Id="R8e956446773941fe" /><Relationship Type="http://schemas.openxmlformats.org/officeDocument/2006/relationships/settings" Target="/word/settings.xml" Id="R111b89d64d1a45d0" /><Relationship Type="http://schemas.openxmlformats.org/officeDocument/2006/relationships/styles" Target="/word/styles.xml" Id="R093aa2e01083451a" /><Relationship Type="http://schemas.openxmlformats.org/officeDocument/2006/relationships/hyperlink" Target="https://meteor-uat.aihw.gov.au/RegistrationAuthority/13" TargetMode="External" Id="Rcd6f5b85cd814979" /><Relationship Type="http://schemas.openxmlformats.org/officeDocument/2006/relationships/hyperlink" Target="https://meteor-uat.aihw.gov.au/RegistrationAuthority/3" TargetMode="External" Id="Rb02b84b3ecf24d95" /><Relationship Type="http://schemas.openxmlformats.org/officeDocument/2006/relationships/hyperlink" Target="https://meteor-uat.aihw.gov.au/content/463989" TargetMode="External" Id="R1186fcf6ff274405" /><Relationship Type="http://schemas.openxmlformats.org/officeDocument/2006/relationships/hyperlink" Target="https://meteor-uat.aihw.gov.au/content/463092" TargetMode="External" Id="Rd35956ed739d4a4f" /><Relationship Type="http://schemas.openxmlformats.org/officeDocument/2006/relationships/hyperlink" Target="https://meteor-uat.aihw.gov.au/content/292306" TargetMode="External" Id="R2984fbb995a847e8" /><Relationship Type="http://schemas.openxmlformats.org/officeDocument/2006/relationships/hyperlink" Target="https://meteor-uat.aihw.gov.au/RegistrationAuthority/13" TargetMode="External" Id="R60c628ceb4c548d0" /><Relationship Type="http://schemas.openxmlformats.org/officeDocument/2006/relationships/hyperlink" Target="https://meteor-uat.aihw.gov.au/content/462322" TargetMode="External" Id="Rf710430338114022" /><Relationship Type="http://schemas.openxmlformats.org/officeDocument/2006/relationships/hyperlink" Target="https://meteor-uat.aihw.gov.au/RegistrationAuthority/13" TargetMode="External" Id="Rda74c4b71f8b49fc" /><Relationship Type="http://schemas.openxmlformats.org/officeDocument/2006/relationships/hyperlink" Target="https://meteor-uat.aihw.gov.au/content/463084" TargetMode="External" Id="Ra795a5ff17bd42d0" /><Relationship Type="http://schemas.openxmlformats.org/officeDocument/2006/relationships/hyperlink" Target="https://meteor-uat.aihw.gov.au/content/605339" TargetMode="External" Id="Reb562e2a0aad43f0" /><Relationship Type="http://schemas.openxmlformats.org/officeDocument/2006/relationships/hyperlink" Target="https://meteor-uat.aihw.gov.au/RegistrationAuthority/13" TargetMode="External" Id="R203289081a6d4083" /><Relationship Type="http://schemas.openxmlformats.org/officeDocument/2006/relationships/hyperlink" Target="https://meteor-uat.aihw.gov.au/content/463084" TargetMode="External" Id="Rf7c4e6243ced4ebf" /></Relationships>
</file>

<file path=word/_rels/header1.xml.rels>&#65279;<?xml version="1.0" encoding="utf-8"?><Relationships xmlns="http://schemas.openxmlformats.org/package/2006/relationships"><Relationship Type="http://schemas.openxmlformats.org/officeDocument/2006/relationships/image" Target="/media/image.png" Id="R0543c996227d47be" /></Relationships>
</file>