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a0e01846854f26" /></Relationships>
</file>

<file path=word/document.xml><?xml version="1.0" encoding="utf-8"?>
<w:document xmlns:r="http://schemas.openxmlformats.org/officeDocument/2006/relationships" xmlns:w="http://schemas.openxmlformats.org/wordprocessingml/2006/main">
  <w:body>
    <w:p>
      <w:pPr>
        <w:pStyle w:val="Title"/>
      </w:pPr>
      <w:r>
        <w:t>Disability Services NMDS 2012-14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NMDS 2012-14</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519eb0bcf2f649ab">
                    <w:r>
                      <w:rPr>
                        <w:rStyle w:val="Hyperlink"/>
                      </w:rPr>
                      <w:t xml:space="preserve">Activity and participation need for assistance cluster</w:t>
                    </w:r>
                  </w:hyperlink>
                </w:p>
              </w:tc>
              <w:tc>
                <w:tcPr>
                  <w:vAlign w:val="top"/>
                </w:tcPr>
                <w:p>
                  <w:r>
                    <w:t xml:space="preserve">492069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19b4f98237a14fa0">
                    <w:r>
                      <w:rPr>
                        <w:rStyle w:val="Hyperlink"/>
                      </w:rPr>
                      <w:t xml:space="preserve">Activity and participation type (Disability)</w:t>
                    </w:r>
                  </w:hyperlink>
                </w:p>
              </w:tc>
              <w:tc>
                <w:tcPr>
                  <w:vAlign w:val="top"/>
                </w:tcPr>
                <w:p>
                  <w:r>
                    <w:t xml:space="preserve">492131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Self-care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Mobility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Communication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Interpersonal interactions and relationships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Learning and applying knowledge and general tasks and demands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Education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Community (civic) and economic life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Domestic life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Working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df223e371fc4584">
                    <w:r>
                      <w:rPr>
                        <w:rStyle w:val="Hyperlink"/>
                      </w:rPr>
                      <w:t xml:space="preserve">Assistance with activities (Disability)</w:t>
                    </w:r>
                  </w:hyperlink>
                </w:p>
              </w:tc>
              <w:tc>
                <w:tcPr>
                  <w:vAlign w:val="top"/>
                </w:tcPr>
                <w:p>
                  <w:r>
                    <w:t xml:space="preserve">386443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Unable to do or always needs help/supervision in this life area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Sometimes needs help/supervision in this life area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Does not need help/supervision but uses aids or equipment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Does not need help/supervision and does not use aids or equipment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w:t>
                  </w:r>
                </w:p>
              </w:tc>
              <w:tc>
                <w:tcPr>
                  <w:tcMar/>
                  <w:vAlign w:val="top"/>
                </w:tcPr>
                <w:p>
                  <w:hyperlink w:history="true" r:id="Rabd406df7bfa48a1">
                    <w:r>
                      <w:rPr>
                        <w:rStyle w:val="Hyperlink"/>
                      </w:rPr>
                      <w:t xml:space="preserve">Agency sector cluster</w:t>
                    </w:r>
                  </w:hyperlink>
                </w:p>
              </w:tc>
              <w:tc>
                <w:tcPr>
                  <w:vAlign w:val="top"/>
                </w:tcPr>
                <w:p>
                  <w:r>
                    <w:t xml:space="preserve">497979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fadc50bc0c064404">
                    <w:r>
                      <w:rPr>
                        <w:rStyle w:val="Hyperlink"/>
                      </w:rPr>
                      <w:t xml:space="preserve">Tax exempt indicator</w:t>
                    </w:r>
                  </w:hyperlink>
                </w:p>
              </w:tc>
              <w:tc>
                <w:tcPr>
                  <w:vAlign w:val="top"/>
                </w:tcPr>
                <w:p>
                  <w:r>
                    <w:t xml:space="preserve">321004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Income tax exempt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Non-income tax exempt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43c1c817867490b">
                    <w:r>
                      <w:rPr>
                        <w:rStyle w:val="Hyperlink"/>
                      </w:rPr>
                      <w:t xml:space="preserve">Level of government</w:t>
                    </w:r>
                  </w:hyperlink>
                </w:p>
              </w:tc>
              <w:tc>
                <w:tcPr>
                  <w:vAlign w:val="top"/>
                </w:tcPr>
                <w:p>
                  <w:r>
                    <w:t xml:space="preserve">322239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National (Australian government)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State/Territory government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Local government</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c920efc42da40e7">
                    <w:r>
                      <w:rPr>
                        <w:rStyle w:val="Hyperlink"/>
                      </w:rPr>
                      <w:t xml:space="preserve">Sector type</w:t>
                    </w:r>
                  </w:hyperlink>
                </w:p>
              </w:tc>
              <w:tc>
                <w:tcPr>
                  <w:vAlign w:val="top"/>
                </w:tcPr>
                <w:p>
                  <w:r>
                    <w:t xml:space="preserve">350937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Government (public)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Non-government (private)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 /inadequately described</w:t>
                        </w:r>
                      </w:p>
                    </w:tc>
                  </w:tr>
                </w:tbl>
                <w:p/>
              </w:tc>
            </w:tr>
            <w:tr>
              <w:trPr/>
              <w:tc>
                <w:tcPr>
                  <w:tcMar>
                    <w:right w:w="29" w:type="dxa"/>
                  </w:tcMar>
                  <w:vAlign w:val="top"/>
                </w:tcPr>
                <w:p>
                  <w:pPr>
                    <w:keepNext/>
                    <w:jc w:val="center"/>
                  </w:pPr>
                  <w:r>
                    <w:t xml:space="preserve">-</w:t>
                  </w:r>
                </w:p>
              </w:tc>
              <w:tc>
                <w:tcPr>
                  <w:tcMar/>
                  <w:vAlign w:val="top"/>
                </w:tcPr>
                <w:p>
                  <w:hyperlink w:history="true" r:id="Rdbf36dba01cc4b28">
                    <w:r>
                      <w:rPr>
                        <w:rStyle w:val="Hyperlink"/>
                      </w:rPr>
                      <w:t xml:space="preserve">Funding jurisdiction cluster</w:t>
                    </w:r>
                  </w:hyperlink>
                </w:p>
              </w:tc>
              <w:tc>
                <w:tcPr>
                  <w:vAlign w:val="top"/>
                </w:tcPr>
                <w:p>
                  <w:r>
                    <w:t xml:space="preserve">497735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80a9ea78f5c94585">
                    <w:r>
                      <w:rPr>
                        <w:rStyle w:val="Hyperlink"/>
                      </w:rPr>
                      <w:t xml:space="preserve">Australian state/territory identifier of address</w:t>
                    </w:r>
                  </w:hyperlink>
                </w:p>
              </w:tc>
              <w:tc>
                <w:tcPr>
                  <w:vAlign w:val="top"/>
                </w:tcPr>
                <w:p>
                  <w:r>
                    <w:t xml:space="preserve">430134</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566356be92b4a0c">
                    <w:r>
                      <w:rPr>
                        <w:rStyle w:val="Hyperlink"/>
                      </w:rPr>
                      <w:t xml:space="preserve">Funding source</w:t>
                    </w:r>
                  </w:hyperlink>
                </w:p>
              </w:tc>
              <w:tc>
                <w:tcPr>
                  <w:vAlign w:val="top"/>
                </w:tcPr>
                <w:p>
                  <w:r>
                    <w:t xml:space="preserve">497726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National (Australian government)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State/Territory government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Local government</w:t>
                        </w:r>
                      </w:p>
                    </w:tc>
                  </w:tr>
                </w:tbl>
                <w:p/>
              </w:tc>
            </w:tr>
            <w:tr>
              <w:trPr/>
              <w:tc>
                <w:tcPr>
                  <w:tcMar>
                    <w:right w:w="29" w:type="dxa"/>
                  </w:tcMar>
                  <w:vAlign w:val="top"/>
                </w:tcPr>
                <w:p>
                  <w:pPr>
                    <w:keepNext/>
                    <w:jc w:val="center"/>
                  </w:pPr>
                  <w:r>
                    <w:t xml:space="preserve">-</w:t>
                  </w:r>
                </w:p>
              </w:tc>
              <w:tc>
                <w:tcPr>
                  <w:tcMar/>
                  <w:vAlign w:val="top"/>
                </w:tcPr>
                <w:p>
                  <w:hyperlink w:history="true" r:id="R2ccf626556ea48ca">
                    <w:r>
                      <w:rPr>
                        <w:rStyle w:val="Hyperlink"/>
                      </w:rPr>
                      <w:t xml:space="preserve">Statistical linkage key 581 cluster</w:t>
                    </w:r>
                  </w:hyperlink>
                </w:p>
              </w:tc>
              <w:tc>
                <w:tcPr>
                  <w:vAlign w:val="top"/>
                </w:tcPr>
                <w:p>
                  <w:r>
                    <w:t xml:space="preserve">349510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f207d609ba7847a7">
                    <w:r>
                      <w:rPr>
                        <w:rStyle w:val="Hyperlink"/>
                      </w:rPr>
                      <w:t xml:space="preserve">Letters of family name</w:t>
                    </w:r>
                  </w:hyperlink>
                </w:p>
              </w:tc>
              <w:tc>
                <w:tcPr>
                  <w:vAlign w:val="top"/>
                </w:tcPr>
                <w:p>
                  <w:r>
                    <w:t xml:space="preserve">349481</w:t>
                  </w:r>
                </w:p>
              </w:tc>
              <w:tc>
                <w:tcPr>
                  <w:vAlign w:val="top"/>
                </w:tcPr>
                <w:p>
                  <w:r>
                    <w:t xml:space="preserve">String
[3]</w:t>
                  </w:r>
                </w:p>
              </w:tc>
              <w:tc>
                <w:tcPr>
                  <w:vAlign w:val="top"/>
                </w:tcPr>
                <w:p>
                  <w:r>
                    <w:t xml:space="preserve">XXX</w:t>
                  </w:r>
                  <w:r>
                    <w:br/>
                  </w:r>
                  <w:r>
                    <w:t xml:space="preserve">A combination of alphanumeric characters.</w:t>
                  </w:r>
                </w:p>
              </w:tc>
            </w:tr>
            <w:tr>
              <w:trPr/>
              <w:tc>
                <w:tcPr>
                  <w:tcMar>
                    <w:right w:w="29" w:type="dxa"/>
                  </w:tcMar>
                  <w:vAlign w:val="top"/>
                </w:tcPr>
                <w:p>
                  <w:pPr>
                    <w:keepNext/>
                    <w:jc w:val="center"/>
                  </w:pPr>
                  <w:r>
                    <w:t xml:space="preserve">      2</w:t>
                  </w:r>
                </w:p>
              </w:tc>
              <w:tc>
                <w:tcPr>
                  <w:tcMar>
                    <w:left w:w="225" w:type="dxa"/>
                  </w:tcMar>
                  <w:vAlign w:val="top"/>
                </w:tcPr>
                <w:p>
                  <w:hyperlink w:history="true" r:id="R797bbce5dbf249ef">
                    <w:r>
                      <w:rPr>
                        <w:rStyle w:val="Hyperlink"/>
                      </w:rPr>
                      <w:t xml:space="preserve">Letters of given name</w:t>
                    </w:r>
                  </w:hyperlink>
                </w:p>
              </w:tc>
              <w:tc>
                <w:tcPr>
                  <w:vAlign w:val="top"/>
                </w:tcPr>
                <w:p>
                  <w:r>
                    <w:t xml:space="preserve">349483</w:t>
                  </w:r>
                </w:p>
              </w:tc>
              <w:tc>
                <w:tcPr>
                  <w:vAlign w:val="top"/>
                </w:tcPr>
                <w:p>
                  <w:r>
                    <w:t xml:space="preserve">String
[2]</w:t>
                  </w:r>
                </w:p>
              </w:tc>
              <w:tc>
                <w:tcPr>
                  <w:vAlign w:val="top"/>
                </w:tcPr>
                <w:p>
                  <w:r>
                    <w:t xml:space="preserve">XX</w:t>
                  </w:r>
                  <w:r>
                    <w:br/>
                  </w:r>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7b228effada24899">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      4</w:t>
                  </w:r>
                </w:p>
              </w:tc>
              <w:tc>
                <w:tcPr>
                  <w:tcMar>
                    <w:left w:w="225" w:type="dxa"/>
                  </w:tcMar>
                  <w:vAlign w:val="top"/>
                </w:tcPr>
                <w:p>
                  <w:hyperlink w:history="true" r:id="R114a4cc42619449b">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2e488e9436674307">
                    <w:r>
                      <w:rPr>
                        <w:rStyle w:val="Hyperlink"/>
                      </w:rPr>
                      <w:t xml:space="preserve">Statistical linkage key 581</w:t>
                    </w:r>
                  </w:hyperlink>
                </w:p>
              </w:tc>
              <w:tc>
                <w:tcPr>
                  <w:vAlign w:val="top"/>
                </w:tcPr>
                <w:p>
                  <w:r>
                    <w:t xml:space="preserve">349895</w:t>
                  </w:r>
                </w:p>
              </w:tc>
              <w:tc>
                <w:tcPr>
                  <w:vAlign w:val="top"/>
                </w:tcPr>
                <w:p>
                  <w:r>
                    <w:t xml:space="preserve">String
[14]</w:t>
                  </w:r>
                </w:p>
              </w:tc>
              <w:tc>
                <w:tcPr>
                  <w:vAlign w:val="top"/>
                </w:tcPr>
                <w:p>
                  <w:r>
                    <w:t xml:space="preserve">XXXXXDDMMYYYYN</w:t>
                  </w:r>
                  <w:r>
                    <w:br/>
                  </w:r>
                </w:p>
                <w:p>
                  <w:r>
                    <w:t xml:space="preserve">A combination of the second, third and fifth alphanumeric characters of a person's family name, the second and third alphanumeric characters of a person's given name, a date in the format DDMMYYYY and a single digit number representing the sex of a person.</w:t>
                  </w:r>
                </w:p>
              </w:tc>
            </w:tr>
            <w:tr>
              <w:trPr/>
              <w:tc>
                <w:tcPr>
                  <w:tcMar>
                    <w:right w:w="29" w:type="dxa"/>
                  </w:tcMar>
                  <w:vAlign w:val="top"/>
                </w:tcPr>
                <w:p>
                  <w:pPr>
                    <w:keepNext/>
                    <w:jc w:val="center"/>
                  </w:pPr>
                  <w:r>
                    <w:t xml:space="preserve">      6</w:t>
                  </w:r>
                </w:p>
              </w:tc>
              <w:tc>
                <w:tcPr>
                  <w:tcMar>
                    <w:left w:w="225" w:type="dxa"/>
                  </w:tcMar>
                  <w:vAlign w:val="top"/>
                </w:tcPr>
                <w:p>
                  <w:hyperlink w:history="true" r:id="R3192a1a1a79b4db8">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r>
              <w:trPr/>
              <w:tc>
                <w:tcPr>
                  <w:tcMar>
                    <w:right w:w="29" w:type="dxa"/>
                  </w:tcMar>
                  <w:vAlign w:val="top"/>
                </w:tcPr>
                <w:p>
                  <w:pPr>
                    <w:keepNext/>
                    <w:jc w:val="center"/>
                  </w:pPr>
                  <w:r>
                    <w:t xml:space="preserve">-</w:t>
                  </w:r>
                </w:p>
              </w:tc>
              <w:tc>
                <w:tcPr>
                  <w:tcMar/>
                  <w:vAlign w:val="top"/>
                </w:tcPr>
                <w:p>
                  <w:hyperlink w:history="true" r:id="R248858dcba9e4a9e">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be5a87c1de1240be">
                    <w:r>
                      <w:rPr>
                        <w:rStyle w:val="Hyperlink"/>
                      </w:rPr>
                      <w:t xml:space="preserve">Amount of assistance</w:t>
                    </w:r>
                  </w:hyperlink>
                </w:p>
              </w:tc>
              <w:tc>
                <w:tcPr>
                  <w:vAlign w:val="top"/>
                </w:tcPr>
                <w:p>
                  <w:r>
                    <w:t xml:space="preserve">323093</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173320ccf0c42d9">
                    <w:r>
                      <w:rPr>
                        <w:rStyle w:val="Hyperlink"/>
                      </w:rPr>
                      <w:t xml:space="preserve">Age group (carer)</w:t>
                    </w:r>
                  </w:hyperlink>
                </w:p>
              </w:tc>
              <w:tc>
                <w:tcPr>
                  <w:vAlign w:val="top"/>
                </w:tcPr>
                <w:p>
                  <w:r>
                    <w:t xml:space="preserve">498190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Under 15 years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15–24 years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25–44 years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45–64 years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65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35c91f1a5ddc4dc7">
                    <w:r>
                      <w:rPr>
                        <w:rStyle w:val="Hyperlink"/>
                      </w:rPr>
                      <w:t xml:space="preserve">Informal carer co-residency</w:t>
                    </w:r>
                  </w:hyperlink>
                </w:p>
              </w:tc>
              <w:tc>
                <w:tcPr>
                  <w:vAlign w:val="top"/>
                </w:tcPr>
                <w:p>
                  <w:r>
                    <w:t xml:space="preserve">270167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Co-resident carer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Non-resident carer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d51c35a4eb84089">
                    <w:r>
                      <w:rPr>
                        <w:rStyle w:val="Hyperlink"/>
                      </w:rPr>
                      <w:t xml:space="preserve">Informal carer primary status</w:t>
                    </w:r>
                  </w:hyperlink>
                </w:p>
              </w:tc>
              <w:tc>
                <w:tcPr>
                  <w:vAlign w:val="top"/>
                </w:tcPr>
                <w:p>
                  <w:r>
                    <w:t xml:space="preserve">323760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2a09f654f55450e">
                    <w:r>
                      <w:rPr>
                        <w:rStyle w:val="Hyperlink"/>
                      </w:rPr>
                      <w:t xml:space="preserve">Relationship of carer to care recipient</w:t>
                    </w:r>
                  </w:hyperlink>
                </w:p>
              </w:tc>
              <w:tc>
                <w:tcPr>
                  <w:vAlign w:val="top"/>
                </w:tcPr>
                <w:p>
                  <w:r>
                    <w:t xml:space="preserve">376502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Spouse/partner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Wife/female partner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Husband/male partner</w:t>
                        </w:r>
                      </w:p>
                    </w:tc>
                  </w:tr>
                  <w:tr>
                    <w:trPr/>
                    <w:tc>
                      <w:tcPr>
                        <w:tcW w:w="1000" w:type="pct"/>
                        <w:tcBorders>
                          <w:top w:val="none" w:color="000000" w:sz="0"/>
                          <w:left w:val="none" w:color="000000" w:sz="0"/>
                          <w:bottom w:val="none" w:color="000000" w:sz="0"/>
                          <w:right w:val="none" w:color="000000" w:sz="0"/>
                        </w:tcBorders>
                        <w:tcMar/>
                        <w:vAlign w:val="top"/>
                      </w:tcPr>
                      <w:p>
                        <w:r>
                          <w:t xml:space="preserve">Parent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Mother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Father</w:t>
                        </w:r>
                      </w:p>
                    </w:tc>
                  </w:tr>
                  <w:tr>
                    <w:trPr/>
                    <w:tc>
                      <w:tcPr>
                        <w:tcW w:w="1000" w:type="pct"/>
                        <w:tcBorders>
                          <w:top w:val="none" w:color="000000" w:sz="0"/>
                          <w:left w:val="none" w:color="000000" w:sz="0"/>
                          <w:bottom w:val="none" w:color="000000" w:sz="0"/>
                          <w:right w:val="none" w:color="000000" w:sz="0"/>
                        </w:tcBorders>
                        <w:tcMar/>
                        <w:vAlign w:val="top"/>
                      </w:tcPr>
                      <w:p>
                        <w:r>
                          <w:t xml:space="preserve">Child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Daughter</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Son</w:t>
                        </w:r>
                      </w:p>
                    </w:tc>
                  </w:tr>
                  <w:tr>
                    <w:trPr/>
                    <w:tc>
                      <w:tcPr>
                        <w:tcW w:w="1000" w:type="pct"/>
                        <w:tcBorders>
                          <w:top w:val="none" w:color="000000" w:sz="0"/>
                          <w:left w:val="none" w:color="000000" w:sz="0"/>
                          <w:bottom w:val="none" w:color="000000" w:sz="0"/>
                          <w:right w:val="none" w:color="000000" w:sz="0"/>
                        </w:tcBorders>
                        <w:tcMar/>
                        <w:vAlign w:val="top"/>
                      </w:tcPr>
                      <w:p>
                        <w:r>
                          <w:t xml:space="preserve">Child-in-law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Daughter-in-law</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Son-in-law</w:t>
                        </w:r>
                      </w:p>
                    </w:tc>
                  </w:tr>
                  <w:tr>
                    <w:trPr/>
                    <w:tc>
                      <w:tcPr>
                        <w:tcW w:w="1000" w:type="pct"/>
                        <w:tcBorders>
                          <w:top w:val="none" w:color="000000" w:sz="0"/>
                          <w:left w:val="none" w:color="000000" w:sz="0"/>
                          <w:bottom w:val="none" w:color="000000" w:sz="0"/>
                          <w:right w:val="none" w:color="000000" w:sz="0"/>
                        </w:tcBorders>
                        <w:tcMar/>
                        <w:vAlign w:val="top"/>
                      </w:tcPr>
                      <w:p>
                        <w:r>
                          <w:t xml:space="preserve">Other relative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female relative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male relative</w:t>
                        </w:r>
                      </w:p>
                    </w:tc>
                  </w:tr>
                  <w:tr>
                    <w:trPr/>
                    <w:tc>
                      <w:tcPr>
                        <w:tcW w:w="1000" w:type="pct"/>
                        <w:tcBorders>
                          <w:top w:val="none" w:color="000000" w:sz="0"/>
                          <w:left w:val="none" w:color="000000" w:sz="0"/>
                          <w:bottom w:val="none" w:color="000000" w:sz="0"/>
                          <w:right w:val="none" w:color="000000" w:sz="0"/>
                        </w:tcBorders>
                        <w:tcMar/>
                        <w:vAlign w:val="top"/>
                      </w:tcPr>
                      <w:p>
                        <w:r>
                          <w:t xml:space="preserve">Friend/neighbour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Female friend</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Male friend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f76164252f94ecf">
                    <w:r>
                      <w:rPr>
                        <w:rStyle w:val="Hyperlink"/>
                      </w:rPr>
                      <w:t xml:space="preserve">Carer Allowance (Child) receipt indicator </w:t>
                    </w:r>
                  </w:hyperlink>
                </w:p>
              </w:tc>
              <w:tc>
                <w:tcPr>
                  <w:vAlign w:val="top"/>
                </w:tcPr>
                <w:p>
                  <w:r>
                    <w:t xml:space="preserve">323286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901b1c6bca54b23">
                    <w:r>
                      <w:rPr>
                        <w:rStyle w:val="Hyperlink"/>
                      </w:rPr>
                      <w:t xml:space="preserve">Communication method</w:t>
                    </w:r>
                  </w:hyperlink>
                </w:p>
              </w:tc>
              <w:tc>
                <w:tcPr>
                  <w:vAlign w:val="top"/>
                </w:tcPr>
                <w:p>
                  <w:r>
                    <w:t xml:space="preserve">345093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Spoken language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Sign language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effective non-spoken communication (e.g. Canon Communicator, Compic)</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d6b1b9be032490a">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r>
                    <w:t xml:space="preserve">The Standard Australian Classification of Countries (SACC 2011) code set representing a country.</w:t>
                  </w:r>
                </w:p>
              </w:tc>
            </w:tr>
            <w:tr>
              <w:trPr/>
              <w:tc>
                <w:tcPr>
                  <w:tcMar>
                    <w:right w:w="29" w:type="dxa"/>
                  </w:tcMar>
                  <w:vAlign w:val="top"/>
                </w:tcPr>
                <w:p>
                  <w:pPr>
                    <w:keepNext/>
                    <w:jc w:val="center"/>
                  </w:pPr>
                  <w:r>
                    <w:t xml:space="preserve">-</w:t>
                  </w:r>
                </w:p>
              </w:tc>
              <w:tc>
                <w:tcPr>
                  <w:tcMar/>
                  <w:vAlign w:val="top"/>
                </w:tcPr>
                <w:p>
                  <w:hyperlink w:history="true" r:id="R73fa9ab0be914576">
                    <w:r>
                      <w:rPr>
                        <w:rStyle w:val="Hyperlink"/>
                      </w:rPr>
                      <w:t xml:space="preserve">Effective communication indicator</w:t>
                    </w:r>
                  </w:hyperlink>
                </w:p>
              </w:tc>
              <w:tc>
                <w:tcPr>
                  <w:vAlign w:val="top"/>
                </w:tcPr>
                <w:p>
                  <w:r>
                    <w:t xml:space="preserve">345049</w:t>
                  </w:r>
                </w:p>
              </w:tc>
              <w:tc>
                <w:tcPr>
                  <w:vAlign w:val="top"/>
                </w:tcPr>
                <w:p>
                  <w:r>
                    <w:t xml:space="preserve">Number</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Effective communication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Little or no effective communication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f8294c6e56b4d6e">
                    <w:r>
                      <w:rPr>
                        <w:rStyle w:val="Hyperlink"/>
                      </w:rPr>
                      <w:t xml:space="preserve">Individual funding indicator</w:t>
                    </w:r>
                  </w:hyperlink>
                </w:p>
              </w:tc>
              <w:tc>
                <w:tcPr>
                  <w:vAlign w:val="top"/>
                </w:tcPr>
                <w:p>
                  <w:r>
                    <w:t xml:space="preserve">323170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89dddd6b7f94378">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9c46e8084f34e64">
                    <w:r>
                      <w:rPr>
                        <w:rStyle w:val="Hyperlink"/>
                      </w:rPr>
                      <w:t xml:space="preserve">Informal carer existence indicator</w:t>
                    </w:r>
                  </w:hyperlink>
                </w:p>
              </w:tc>
              <w:tc>
                <w:tcPr>
                  <w:vAlign w:val="top"/>
                </w:tcPr>
                <w:p>
                  <w:r>
                    <w:t xml:space="preserve">320939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a8e68a1fe574cfc">
                    <w:r>
                      <w:rPr>
                        <w:rStyle w:val="Hyperlink"/>
                      </w:rPr>
                      <w:t xml:space="preserve">Interpreter services required</w:t>
                    </w:r>
                  </w:hyperlink>
                </w:p>
              </w:tc>
              <w:tc>
                <w:tcPr>
                  <w:vAlign w:val="top"/>
                </w:tcPr>
                <w:p>
                  <w:r>
                    <w:t xml:space="preserve">304294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0325372c568645a7">
                    <w:r>
                      <w:rPr>
                        <w:rStyle w:val="Hyperlink"/>
                      </w:rPr>
                      <w:t xml:space="preserve">Labour force status</w:t>
                    </w:r>
                  </w:hyperlink>
                </w:p>
              </w:tc>
              <w:tc>
                <w:tcPr>
                  <w:vAlign w:val="top"/>
                </w:tcPr>
                <w:p>
                  <w:r>
                    <w:t xml:space="preserve">270112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Employed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Unemployed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Not in the labour force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59b9db039df4116">
                    <w:r>
                      <w:rPr>
                        <w:rStyle w:val="Hyperlink"/>
                      </w:rPr>
                      <w:t xml:space="preserve">Living arrangement</w:t>
                    </w:r>
                  </w:hyperlink>
                </w:p>
              </w:tc>
              <w:tc>
                <w:tcPr>
                  <w:vAlign w:val="top"/>
                </w:tcPr>
                <w:p>
                  <w:r>
                    <w:t xml:space="preserve">270385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Lives alone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Lives with family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Lives with others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4d5d7a585474b26">
                    <w:r>
                      <w:rPr>
                        <w:rStyle w:val="Hyperlink"/>
                      </w:rPr>
                      <w:t xml:space="preserve">Other significant disability group</w:t>
                    </w:r>
                  </w:hyperlink>
                </w:p>
              </w:tc>
              <w:tc>
                <w:tcPr>
                  <w:vAlign w:val="top"/>
                </w:tcPr>
                <w:p>
                  <w:r>
                    <w:t xml:space="preserve">511278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Intellectual/learning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Intellectual (including Down syndrome)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Specific learning/Attention Deficit Disorder (other than intellectual)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Autism (including Asperger’s syndrome and Pervasive Developmental Delay)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Developmental delay </w:t>
                        </w:r>
                      </w:p>
                    </w:tc>
                  </w:tr>
                  <w:tr>
                    <w:trPr/>
                    <w:tc>
                      <w:tcPr>
                        <w:tcW w:w="1000" w:type="pct"/>
                        <w:tcBorders>
                          <w:top w:val="none" w:color="000000" w:sz="0"/>
                          <w:left w:val="none" w:color="000000" w:sz="0"/>
                          <w:bottom w:val="none" w:color="000000" w:sz="0"/>
                          <w:right w:val="none" w:color="000000" w:sz="0"/>
                        </w:tcBorders>
                        <w:tcMar/>
                        <w:vAlign w:val="top"/>
                      </w:tcPr>
                      <w:p>
                        <w:r>
                          <w:t xml:space="preserve">Physical/diverse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Physical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Acquired brain injury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Neurological (including epilepsy and Alzheimer’s disease)</w:t>
                        </w:r>
                      </w:p>
                    </w:tc>
                  </w:tr>
                  <w:tr>
                    <w:trPr/>
                    <w:tc>
                      <w:tcPr>
                        <w:tcW w:w="1000" w:type="pct"/>
                        <w:tcBorders>
                          <w:top w:val="none" w:color="000000" w:sz="0"/>
                          <w:left w:val="none" w:color="000000" w:sz="0"/>
                          <w:bottom w:val="none" w:color="000000" w:sz="0"/>
                          <w:right w:val="none" w:color="000000" w:sz="0"/>
                        </w:tcBorders>
                        <w:tcMar/>
                        <w:vAlign w:val="top"/>
                      </w:tcPr>
                      <w:p>
                        <w:r>
                          <w:t xml:space="preserve">Sensory/speech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Deafblind (dual sensory)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Vision (sensory)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Hearing (sensory)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Speech</w:t>
                        </w:r>
                      </w:p>
                    </w:tc>
                  </w:tr>
                  <w:tr>
                    <w:trPr/>
                    <w:tc>
                      <w:tcPr>
                        <w:tcW w:w="1000" w:type="pct"/>
                        <w:tcBorders>
                          <w:top w:val="none" w:color="000000" w:sz="0"/>
                          <w:left w:val="none" w:color="000000" w:sz="0"/>
                          <w:bottom w:val="none" w:color="000000" w:sz="0"/>
                          <w:right w:val="none" w:color="000000" w:sz="0"/>
                        </w:tcBorders>
                        <w:tcMar/>
                        <w:vAlign w:val="top"/>
                      </w:tcPr>
                      <w:p>
                        <w:r>
                          <w:t xml:space="preserve">Psychiatric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Psychiatric</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ef042e107424638">
                    <w:r>
                      <w:rPr>
                        <w:rStyle w:val="Hyperlink"/>
                      </w:rPr>
                      <w:t xml:space="preserve">Primary disability group</w:t>
                    </w:r>
                  </w:hyperlink>
                </w:p>
              </w:tc>
              <w:tc>
                <w:tcPr>
                  <w:vAlign w:val="top"/>
                </w:tcPr>
                <w:p>
                  <w:r>
                    <w:t xml:space="preserve">511282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Intellectual/learning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Intellectual (including Down syndrome)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Specific learning/Attention Deficit Disorder (other than intellectual)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Autism (including Asperger’s syndrome and Pervasive Developmental Delay)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Developmental delay </w:t>
                        </w:r>
                      </w:p>
                    </w:tc>
                  </w:tr>
                  <w:tr>
                    <w:trPr/>
                    <w:tc>
                      <w:tcPr>
                        <w:tcW w:w="1000" w:type="pct"/>
                        <w:tcBorders>
                          <w:top w:val="none" w:color="000000" w:sz="0"/>
                          <w:left w:val="none" w:color="000000" w:sz="0"/>
                          <w:bottom w:val="none" w:color="000000" w:sz="0"/>
                          <w:right w:val="none" w:color="000000" w:sz="0"/>
                        </w:tcBorders>
                        <w:tcMar/>
                        <w:vAlign w:val="top"/>
                      </w:tcPr>
                      <w:p>
                        <w:r>
                          <w:t xml:space="preserve">Physical/diverse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Physical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Acquired brain injury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Neurological (including epilepsy and Alzheimer’s disease)</w:t>
                        </w:r>
                      </w:p>
                    </w:tc>
                  </w:tr>
                  <w:tr>
                    <w:trPr/>
                    <w:tc>
                      <w:tcPr>
                        <w:tcW w:w="1000" w:type="pct"/>
                        <w:tcBorders>
                          <w:top w:val="none" w:color="000000" w:sz="0"/>
                          <w:left w:val="none" w:color="000000" w:sz="0"/>
                          <w:bottom w:val="none" w:color="000000" w:sz="0"/>
                          <w:right w:val="none" w:color="000000" w:sz="0"/>
                        </w:tcBorders>
                        <w:tcMar/>
                        <w:vAlign w:val="top"/>
                      </w:tcPr>
                      <w:p>
                        <w:r>
                          <w:t xml:space="preserve">Sensory/speech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Deafblind (dual sensory)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Vision (sensory)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Hearing (sensory)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Speech</w:t>
                        </w:r>
                      </w:p>
                    </w:tc>
                  </w:tr>
                  <w:tr>
                    <w:trPr/>
                    <w:tc>
                      <w:tcPr>
                        <w:tcW w:w="1000" w:type="pct"/>
                        <w:tcBorders>
                          <w:top w:val="none" w:color="000000" w:sz="0"/>
                          <w:left w:val="none" w:color="000000" w:sz="0"/>
                          <w:bottom w:val="none" w:color="000000" w:sz="0"/>
                          <w:right w:val="none" w:color="000000" w:sz="0"/>
                        </w:tcBorders>
                        <w:tcMar/>
                        <w:vAlign w:val="top"/>
                      </w:tcPr>
                      <w:p>
                        <w:r>
                          <w:t xml:space="preserve">Psychiatric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Psychiatric</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b3c01d98d654927">
                    <w:r>
                      <w:rPr>
                        <w:rStyle w:val="Hyperlink"/>
                      </w:rPr>
                      <w:t xml:space="preserve">Residential setting (NDA)</w:t>
                    </w:r>
                  </w:hyperlink>
                </w:p>
              </w:tc>
              <w:tc>
                <w:tcPr>
                  <w:vAlign w:val="top"/>
                </w:tcPr>
                <w:p>
                  <w:r>
                    <w:t xml:space="preserve">386445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residence (e.g. private or public rental, owned, purchasing etc)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Residence within an Aboriginal/Torres Strait Islander community (e.g. rented private residence, temporary shelter)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Domestic-scale supported living facility (e.g. group homes)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Supported accommodation facility (e.g. hostels, supported residential services or facilities)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Boarding house/private hotel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Independent living unit within a retirement village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Residential aged care facility (nursing home or aged care hostel)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Psychiatric/mental health community care facility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Hospital</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Short term crisis, emergency or transitional accommodation facility (e.g. night shelters, refuges, hostels for the homeless, halfway houses)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Public place/temporary shelter</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 (not for use in primary data collections)</w:t>
                        </w:r>
                      </w:p>
                    </w:tc>
                  </w:tr>
                </w:tbl>
                <w:p/>
              </w:tc>
            </w:tr>
            <w:tr>
              <w:trPr/>
              <w:tc>
                <w:tcPr>
                  <w:tcMar>
                    <w:right w:w="29" w:type="dxa"/>
                  </w:tcMar>
                  <w:vAlign w:val="top"/>
                </w:tcPr>
                <w:p>
                  <w:pPr>
                    <w:keepNext/>
                    <w:jc w:val="center"/>
                  </w:pPr>
                  <w:r>
                    <w:t xml:space="preserve">-</w:t>
                  </w:r>
                </w:p>
              </w:tc>
              <w:tc>
                <w:tcPr>
                  <w:tcMar/>
                  <w:vAlign w:val="top"/>
                </w:tcPr>
                <w:p>
                  <w:hyperlink w:history="true" r:id="R104766a79fa24e92">
                    <w:r>
                      <w:rPr>
                        <w:rStyle w:val="Hyperlink"/>
                      </w:rPr>
                      <w:t xml:space="preserve">Main source of income (NDA)</w:t>
                    </w:r>
                  </w:hyperlink>
                </w:p>
              </w:tc>
              <w:tc>
                <w:tcPr>
                  <w:vAlign w:val="top"/>
                </w:tcPr>
                <w:p>
                  <w:r>
                    <w:t xml:space="preserve">386449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Disability Support Pension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pension or benefit (not superannuation)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Paid employment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Compensation payments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(e.g. superannuation, investments etc.)</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Nil income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94a50f70585411b">
                    <w:r>
                      <w:rPr>
                        <w:rStyle w:val="Hyperlink"/>
                      </w:rPr>
                      <w:t xml:space="preserve">Interpreter service type</w:t>
                    </w:r>
                  </w:hyperlink>
                </w:p>
              </w:tc>
              <w:tc>
                <w:tcPr>
                  <w:vAlign w:val="top"/>
                </w:tcPr>
                <w:p>
                  <w:r>
                    <w:t xml:space="preserve">323185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Spoken language other than English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Non-spoken communication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43dc1ee963d461e">
                    <w:r>
                      <w:rPr>
                        <w:rStyle w:val="Hyperlink"/>
                      </w:rPr>
                      <w:t xml:space="preserve">Record identifier (NDA)</w:t>
                    </w:r>
                  </w:hyperlink>
                </w:p>
              </w:tc>
              <w:tc>
                <w:tcPr>
                  <w:vAlign w:val="top"/>
                </w:tcPr>
                <w:p>
                  <w:r>
                    <w:t xml:space="preserve">386453</w:t>
                  </w:r>
                </w:p>
              </w:tc>
              <w:tc>
                <w:tcPr>
                  <w:vAlign w:val="top"/>
                </w:tcPr>
                <w:p>
                  <w:r>
                    <w:t xml:space="preserve">Number
[8]</w:t>
                  </w:r>
                </w:p>
              </w:tc>
              <w:tc>
                <w:tcPr>
                  <w:vAlign w:val="top"/>
                </w:tcPr>
                <w:p>
                  <w:r>
                    <w:t xml:space="preserve">N[N(7)]</w:t>
                  </w:r>
                  <w:r>
                    <w:br/>
                  </w:r>
                  <w:r>
                    <w:t xml:space="preserve">A combination of numeric characters that identify an entity.</w:t>
                  </w:r>
                </w:p>
              </w:tc>
            </w:tr>
            <w:tr>
              <w:trPr/>
              <w:tc>
                <w:tcPr>
                  <w:tcMar>
                    <w:right w:w="29" w:type="dxa"/>
                  </w:tcMar>
                  <w:vAlign w:val="top"/>
                </w:tcPr>
                <w:p>
                  <w:pPr>
                    <w:keepNext/>
                    <w:jc w:val="center"/>
                  </w:pPr>
                  <w:r>
                    <w:t xml:space="preserve">-</w:t>
                  </w:r>
                </w:p>
              </w:tc>
              <w:tc>
                <w:tcPr>
                  <w:tcMar/>
                  <w:vAlign w:val="top"/>
                </w:tcPr>
                <w:p>
                  <w:hyperlink w:history="true" r:id="R5a9b155f613a43a1">
                    <w:r>
                      <w:rPr>
                        <w:rStyle w:val="Hyperlink"/>
                      </w:rPr>
                      <w:t xml:space="preserve">Episode end date</w:t>
                    </w:r>
                  </w:hyperlink>
                </w:p>
              </w:tc>
              <w:tc>
                <w:tcPr>
                  <w:vAlign w:val="top"/>
                </w:tcPr>
                <w:p>
                  <w:r>
                    <w:t xml:space="preserve">270160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657a4833ff944a9f">
                    <w:r>
                      <w:rPr>
                        <w:rStyle w:val="Hyperlink"/>
                      </w:rPr>
                      <w:t xml:space="preserve">Episode start date</w:t>
                    </w:r>
                  </w:hyperlink>
                </w:p>
              </w:tc>
              <w:tc>
                <w:tcPr>
                  <w:vAlign w:val="top"/>
                </w:tcPr>
                <w:p>
                  <w:r>
                    <w:t xml:space="preserve">338558</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5c0c27384861458a">
                    <w:r>
                      <w:rPr>
                        <w:rStyle w:val="Hyperlink"/>
                      </w:rPr>
                      <w:t xml:space="preserve">Service cessation reason</w:t>
                    </w:r>
                  </w:hyperlink>
                </w:p>
              </w:tc>
              <w:tc>
                <w:tcPr>
                  <w:vAlign w:val="top"/>
                </w:tcPr>
                <w:p>
                  <w:r>
                    <w:t xml:space="preserve">386527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Service user no longer needs assistance - moved to mainstream services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Service user no longer needs assistance - other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Service user moved to residential, institutional or supported accommodation setting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Service user's needs have increased - other service type required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Service terminated due to budget/staffing constraints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Service terminated due to Occupational Health and Safety (OHS) reasons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Service user moved out of area</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Service user died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Service user terminated service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a098274383049c0">
                    <w:r>
                      <w:rPr>
                        <w:rStyle w:val="Hyperlink"/>
                      </w:rPr>
                      <w:t xml:space="preserve">Last service provision date</w:t>
                    </w:r>
                  </w:hyperlink>
                </w:p>
              </w:tc>
              <w:tc>
                <w:tcPr>
                  <w:vAlign w:val="top"/>
                </w:tcPr>
                <w:p>
                  <w:r>
                    <w:t xml:space="preserve">323253</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82bc7ab385e949ba">
                    <w:r>
                      <w:rPr>
                        <w:rStyle w:val="Hyperlink"/>
                      </w:rPr>
                      <w:t xml:space="preserve">Full financial year funding indicator</w:t>
                    </w:r>
                  </w:hyperlink>
                </w:p>
              </w:tc>
              <w:tc>
                <w:tcPr>
                  <w:vAlign w:val="top"/>
                </w:tcPr>
                <w:p>
                  <w:r>
                    <w:t xml:space="preserve">322176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c440b1c1d18a48db">
                    <w:r>
                      <w:rPr>
                        <w:rStyle w:val="Hyperlink"/>
                      </w:rPr>
                      <w:t xml:space="preserve">Funding allocated</w:t>
                    </w:r>
                  </w:hyperlink>
                </w:p>
              </w:tc>
              <w:tc>
                <w:tcPr>
                  <w:vAlign w:val="top"/>
                </w:tcPr>
                <w:p>
                  <w:r>
                    <w:t xml:space="preserve">321039</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83e447d7dc0143e7">
                    <w:r>
                      <w:rPr>
                        <w:rStyle w:val="Hyperlink"/>
                      </w:rPr>
                      <w:t xml:space="preserve">Geographic location of organisation (SLA)</w:t>
                    </w:r>
                  </w:hyperlink>
                </w:p>
              </w:tc>
              <w:tc>
                <w:tcPr>
                  <w:vAlign w:val="top"/>
                </w:tcPr>
                <w:p>
                  <w:r>
                    <w:t xml:space="preserve">455566</w:t>
                  </w:r>
                </w:p>
              </w:tc>
              <w:tc>
                <w:tcPr>
                  <w:vAlign w:val="top"/>
                </w:tcPr>
                <w:p>
                  <w:r>
                    <w:t xml:space="preserve">Number
[5]</w:t>
                  </w:r>
                </w:p>
              </w:tc>
              <w:tc>
                <w:tcPr>
                  <w:vAlign w:val="top"/>
                </w:tcPr>
                <w:p>
                  <w:r>
                    <w:t xml:space="preserve">NNNNN</w:t>
                  </w:r>
                  <w:r>
                    <w:br/>
                  </w:r>
                  <w:r>
                    <w:t xml:space="preserve">The ASGC (2011)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2ff5b1fdad5e4f35">
                    <w:r>
                      <w:rPr>
                        <w:rStyle w:val="Hyperlink"/>
                      </w:rPr>
                      <w:t xml:space="preserve">Hours worked—paid staff</w:t>
                    </w:r>
                  </w:hyperlink>
                </w:p>
              </w:tc>
              <w:tc>
                <w:tcPr>
                  <w:vAlign w:val="top"/>
                </w:tcPr>
                <w:p>
                  <w:r>
                    <w:t xml:space="preserve">347870</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e8cfb97f070842b0">
                    <w:r>
                      <w:rPr>
                        <w:rStyle w:val="Hyperlink"/>
                      </w:rPr>
                      <w:t xml:space="preserve">Hours worked—volunteer/unpaid staff</w:t>
                    </w:r>
                  </w:hyperlink>
                </w:p>
              </w:tc>
              <w:tc>
                <w:tcPr>
                  <w:vAlign w:val="top"/>
                </w:tcPr>
                <w:p>
                  <w:r>
                    <w:t xml:space="preserve">347882</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ee0d25c1e1b44c13">
                    <w:r>
                      <w:rPr>
                        <w:rStyle w:val="Hyperlink"/>
                      </w:rPr>
                      <w:t xml:space="preserve">Number of clients</w:t>
                    </w:r>
                  </w:hyperlink>
                </w:p>
              </w:tc>
              <w:tc>
                <w:tcPr>
                  <w:vAlign w:val="top"/>
                </w:tcPr>
                <w:p>
                  <w:r>
                    <w:t xml:space="preserve">321271</w:t>
                  </w:r>
                </w:p>
              </w:tc>
              <w:tc>
                <w:tcPr>
                  <w:vAlign w:val="top"/>
                </w:tcPr>
                <w:p>
                  <w:r>
                    <w:t xml:space="preserve">Number
[5]</w:t>
                  </w:r>
                </w:p>
              </w:tc>
              <w:tc>
                <w:tcPr>
                  <w:vAlign w:val="top"/>
                </w:tcPr>
                <w:p>
                  <w:r>
                    <w:t xml:space="preserve">N[NNNN]</w:t>
                  </w:r>
                  <w:r>
                    <w:br/>
                  </w:r>
                  <w:r>
                    <w:t xml:space="preserve">Total number of people.</w:t>
                  </w:r>
                </w:p>
              </w:tc>
            </w:tr>
            <w:tr>
              <w:trPr/>
              <w:tc>
                <w:tcPr>
                  <w:tcMar>
                    <w:right w:w="29" w:type="dxa"/>
                  </w:tcMar>
                  <w:vAlign w:val="top"/>
                </w:tcPr>
                <w:p>
                  <w:pPr>
                    <w:keepNext/>
                    <w:jc w:val="center"/>
                  </w:pPr>
                  <w:r>
                    <w:t xml:space="preserve">-</w:t>
                  </w:r>
                </w:p>
              </w:tc>
              <w:tc>
                <w:tcPr>
                  <w:tcMar/>
                  <w:vAlign w:val="top"/>
                </w:tcPr>
                <w:p>
                  <w:hyperlink w:history="true" r:id="R15c7e017382f43c2">
                    <w:r>
                      <w:rPr>
                        <w:rStyle w:val="Hyperlink"/>
                      </w:rPr>
                      <w:t xml:space="preserve">Service operation days</w:t>
                    </w:r>
                  </w:hyperlink>
                </w:p>
              </w:tc>
              <w:tc>
                <w:tcPr>
                  <w:vAlign w:val="top"/>
                </w:tcPr>
                <w:p>
                  <w:r>
                    <w:t xml:space="preserve">323188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week</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335c6f4fe1f4d55">
                    <w:r>
                      <w:rPr>
                        <w:rStyle w:val="Hyperlink"/>
                      </w:rPr>
                      <w:t xml:space="preserve">Service operation hours</w:t>
                    </w:r>
                  </w:hyperlink>
                </w:p>
              </w:tc>
              <w:tc>
                <w:tcPr>
                  <w:vAlign w:val="top"/>
                </w:tcPr>
                <w:p>
                  <w:r>
                    <w:t xml:space="preserve">270376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day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428ae6572434513">
                    <w:r>
                      <w:rPr>
                        <w:rStyle w:val="Hyperlink"/>
                      </w:rPr>
                      <w:t xml:space="preserve">Service operation weeks</w:t>
                    </w:r>
                  </w:hyperlink>
                </w:p>
              </w:tc>
              <w:tc>
                <w:tcPr>
                  <w:vAlign w:val="top"/>
                </w:tcPr>
                <w:p>
                  <w:r>
                    <w:t xml:space="preserve">270377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year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7ba9fd441b543ff">
                    <w:r>
                      <w:rPr>
                        <w:rStyle w:val="Hyperlink"/>
                      </w:rPr>
                      <w:t xml:space="preserve">Funded agency identifier (NDA)</w:t>
                    </w:r>
                  </w:hyperlink>
                </w:p>
              </w:tc>
              <w:tc>
                <w:tcPr>
                  <w:vAlign w:val="top"/>
                </w:tcPr>
                <w:p>
                  <w:r>
                    <w:t xml:space="preserve">386477</w:t>
                  </w:r>
                </w:p>
              </w:tc>
              <w:tc>
                <w:tcPr>
                  <w:vAlign w:val="top"/>
                </w:tcPr>
                <w:p>
                  <w:r>
                    <w:t xml:space="preserve">String
[8]</w:t>
                  </w:r>
                </w:p>
              </w:tc>
              <w:tc>
                <w:tcPr>
                  <w:vAlign w:val="top"/>
                </w:tcPr>
                <w:p>
                  <w:r>
                    <w:t xml:space="preserve">X[X(7)]</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7f53f120562b42d1">
                    <w:r>
                      <w:rPr>
                        <w:rStyle w:val="Hyperlink"/>
                      </w:rPr>
                      <w:t xml:space="preserve">Service type outlet identifier (NDA)</w:t>
                    </w:r>
                  </w:hyperlink>
                </w:p>
              </w:tc>
              <w:tc>
                <w:tcPr>
                  <w:vAlign w:val="top"/>
                </w:tcPr>
                <w:p>
                  <w:r>
                    <w:t xml:space="preserve">386479</w:t>
                  </w:r>
                </w:p>
              </w:tc>
              <w:tc>
                <w:tcPr>
                  <w:vAlign w:val="top"/>
                </w:tcPr>
                <w:p>
                  <w:r>
                    <w:t xml:space="preserve">String
[14]</w:t>
                  </w:r>
                </w:p>
              </w:tc>
              <w:tc>
                <w:tcPr>
                  <w:vAlign w:val="top"/>
                </w:tcPr>
                <w:p>
                  <w:r>
                    <w:t xml:space="preserve">XX[X(12)]</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6213a036c7dd44ac">
                    <w:r>
                      <w:rPr>
                        <w:rStyle w:val="Hyperlink"/>
                      </w:rPr>
                      <w:t xml:space="preserve">Service type (NDA)</w:t>
                    </w:r>
                  </w:hyperlink>
                </w:p>
              </w:tc>
              <w:tc>
                <w:tcPr>
                  <w:vAlign w:val="top"/>
                </w:tcPr>
                <w:p>
                  <w:r>
                    <w:t xml:space="preserve">500887</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Large residential/institution (&gt;20 places)—24 hour care</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Small residential/institution (7-20 places)—24 hour care</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Hostels - generally not 24 hour care</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Group homes (less than 7 places)</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Attendant care/personal care</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In-home accommodation support</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Alternative family placement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Other accommodation support</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Therapy support for individuals</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Early childhood intervention</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Behaviour/specialist intervention</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Counselling (individual/family/group)</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Regional resource and support teams</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Case management, local coordination and development</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Other community support</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Learning and life skills development</w:t>
                        </w:r>
                      </w:p>
                    </w:tc>
                  </w:tr>
                  <w:tr>
                    <w:trPr/>
                    <w:tc>
                      <w:tcPr>
                        <w:tcW w:w="1000" w:type="pct"/>
                        <w:tcBorders>
                          <w:top w:val="none" w:color="000000" w:sz="0"/>
                          <w:left w:val="none" w:color="000000" w:sz="0"/>
                          <w:bottom w:val="none" w:color="000000" w:sz="0"/>
                          <w:right w:val="none" w:color="000000" w:sz="0"/>
                        </w:tcBorders>
                        <w:tcMar/>
                        <w:vAlign w:val="top"/>
                      </w:tcPr>
                      <w:p>
                        <w:r>
                          <w:t xml:space="preserve">3.02 </w:t>
                        </w:r>
                      </w:p>
                    </w:tc>
                    <w:tc>
                      <w:tcPr>
                        <w:tcBorders>
                          <w:top w:val="none" w:color="000000" w:sz="0"/>
                          <w:left w:val="none" w:color="000000" w:sz="0"/>
                          <w:bottom w:val="none" w:color="000000" w:sz="0"/>
                          <w:right w:val="none" w:color="000000" w:sz="0"/>
                        </w:tcBorders>
                        <w:tcMar/>
                        <w:vAlign w:val="top"/>
                      </w:tcPr>
                      <w:p>
                        <w:r>
                          <w:t xml:space="preserve">Recreation/holiday programs</w:t>
                        </w:r>
                      </w:p>
                    </w:tc>
                  </w:tr>
                  <w:tr>
                    <w:trPr/>
                    <w:tc>
                      <w:tcPr>
                        <w:tcW w:w="1000" w:type="pct"/>
                        <w:tcBorders>
                          <w:top w:val="none" w:color="000000" w:sz="0"/>
                          <w:left w:val="none" w:color="000000" w:sz="0"/>
                          <w:bottom w:val="none" w:color="000000" w:sz="0"/>
                          <w:right w:val="none" w:color="000000" w:sz="0"/>
                        </w:tcBorders>
                        <w:tcMar/>
                        <w:vAlign w:val="top"/>
                      </w:tcPr>
                      <w:p>
                        <w:r>
                          <w:t xml:space="preserve">3.03 </w:t>
                        </w:r>
                      </w:p>
                    </w:tc>
                    <w:tc>
                      <w:tcPr>
                        <w:tcBorders>
                          <w:top w:val="none" w:color="000000" w:sz="0"/>
                          <w:left w:val="none" w:color="000000" w:sz="0"/>
                          <w:bottom w:val="none" w:color="000000" w:sz="0"/>
                          <w:right w:val="none" w:color="000000" w:sz="0"/>
                        </w:tcBorders>
                        <w:tcMar/>
                        <w:vAlign w:val="top"/>
                      </w:tcPr>
                      <w:p>
                        <w:r>
                          <w:t xml:space="preserve">Other community access</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Own home respite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Centre-based respite/respite homes</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Host family respite/peer support respite</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Flexible respite</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Other respite</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Open employment</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Supported employment</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Advocacy</w:t>
                        </w:r>
                      </w:p>
                    </w:tc>
                  </w:tr>
                  <w:tr>
                    <w:trPr/>
                    <w:tc>
                      <w:tcPr>
                        <w:tcW w:w="1000" w:type="pct"/>
                        <w:tcBorders>
                          <w:top w:val="none" w:color="000000" w:sz="0"/>
                          <w:left w:val="none" w:color="000000" w:sz="0"/>
                          <w:bottom w:val="none" w:color="000000" w:sz="0"/>
                          <w:right w:val="none" w:color="000000" w:sz="0"/>
                        </w:tcBorders>
                        <w:tcMar/>
                        <w:vAlign w:val="top"/>
                      </w:tcPr>
                      <w:p>
                        <w:r>
                          <w:t xml:space="preserve">6.02 </w:t>
                        </w:r>
                      </w:p>
                    </w:tc>
                    <w:tc>
                      <w:tcPr>
                        <w:tcBorders>
                          <w:top w:val="none" w:color="000000" w:sz="0"/>
                          <w:left w:val="none" w:color="000000" w:sz="0"/>
                          <w:bottom w:val="none" w:color="000000" w:sz="0"/>
                          <w:right w:val="none" w:color="000000" w:sz="0"/>
                        </w:tcBorders>
                        <w:tcMar/>
                        <w:vAlign w:val="top"/>
                      </w:tcPr>
                      <w:p>
                        <w:r>
                          <w:t xml:space="preserve">Information/referral</w:t>
                        </w:r>
                      </w:p>
                    </w:tc>
                  </w:tr>
                  <w:tr>
                    <w:trPr/>
                    <w:tc>
                      <w:tcPr>
                        <w:tcW w:w="1000" w:type="pct"/>
                        <w:tcBorders>
                          <w:top w:val="none" w:color="000000" w:sz="0"/>
                          <w:left w:val="none" w:color="000000" w:sz="0"/>
                          <w:bottom w:val="none" w:color="000000" w:sz="0"/>
                          <w:right w:val="none" w:color="000000" w:sz="0"/>
                        </w:tcBorders>
                        <w:tcMar/>
                        <w:vAlign w:val="top"/>
                      </w:tcPr>
                      <w:p>
                        <w:r>
                          <w:t xml:space="preserve">6.03 </w:t>
                        </w:r>
                      </w:p>
                    </w:tc>
                    <w:tc>
                      <w:tcPr>
                        <w:tcBorders>
                          <w:top w:val="none" w:color="000000" w:sz="0"/>
                          <w:left w:val="none" w:color="000000" w:sz="0"/>
                          <w:bottom w:val="none" w:color="000000" w:sz="0"/>
                          <w:right w:val="none" w:color="000000" w:sz="0"/>
                        </w:tcBorders>
                        <w:tcMar/>
                        <w:vAlign w:val="top"/>
                      </w:tcPr>
                      <w:p>
                        <w:r>
                          <w:t xml:space="preserve">Combined information/advocacy</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Mutual support/self-help groups</w:t>
                        </w:r>
                      </w:p>
                    </w:tc>
                  </w:tr>
                  <w:tr>
                    <w:trPr/>
                    <w:tc>
                      <w:tcPr>
                        <w:tcW w:w="1000" w:type="pct"/>
                        <w:tcBorders>
                          <w:top w:val="none" w:color="000000" w:sz="0"/>
                          <w:left w:val="none" w:color="000000" w:sz="0"/>
                          <w:bottom w:val="none" w:color="000000" w:sz="0"/>
                          <w:right w:val="none" w:color="000000" w:sz="0"/>
                        </w:tcBorders>
                        <w:tcMar/>
                        <w:vAlign w:val="top"/>
                      </w:tcPr>
                      <w:p>
                        <w:r>
                          <w:t xml:space="preserve">6.05 </w:t>
                        </w:r>
                      </w:p>
                    </w:tc>
                    <w:tc>
                      <w:tcPr>
                        <w:tcBorders>
                          <w:top w:val="none" w:color="000000" w:sz="0"/>
                          <w:left w:val="none" w:color="000000" w:sz="0"/>
                          <w:bottom w:val="none" w:color="000000" w:sz="0"/>
                          <w:right w:val="none" w:color="000000" w:sz="0"/>
                        </w:tcBorders>
                        <w:tcMar/>
                        <w:vAlign w:val="top"/>
                      </w:tcPr>
                      <w:p>
                        <w:r>
                          <w:t xml:space="preserve">Alternative formats of communication</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Research and evaluation</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Training and development</w:t>
                        </w:r>
                      </w:p>
                    </w:tc>
                  </w:tr>
                  <w:tr>
                    <w:trPr/>
                    <w:tc>
                      <w:tcPr>
                        <w:tcW w:w="1000" w:type="pct"/>
                        <w:tcBorders>
                          <w:top w:val="none" w:color="000000" w:sz="0"/>
                          <w:left w:val="none" w:color="000000" w:sz="0"/>
                          <w:bottom w:val="none" w:color="000000" w:sz="0"/>
                          <w:right w:val="none" w:color="000000" w:sz="0"/>
                        </w:tcBorders>
                        <w:tcMar/>
                        <w:vAlign w:val="top"/>
                      </w:tcPr>
                      <w:p>
                        <w:r>
                          <w:t xml:space="preserve">7.03 </w:t>
                        </w:r>
                      </w:p>
                    </w:tc>
                    <w:tc>
                      <w:tcPr>
                        <w:tcBorders>
                          <w:top w:val="none" w:color="000000" w:sz="0"/>
                          <w:left w:val="none" w:color="000000" w:sz="0"/>
                          <w:bottom w:val="none" w:color="000000" w:sz="0"/>
                          <w:right w:val="none" w:color="000000" w:sz="0"/>
                        </w:tcBorders>
                        <w:tcMar/>
                        <w:vAlign w:val="top"/>
                      </w:tcPr>
                      <w:p>
                        <w:r>
                          <w:t xml:space="preserve">Peak bodies</w:t>
                        </w:r>
                      </w:p>
                    </w:tc>
                  </w:tr>
                  <w:tr>
                    <w:trPr/>
                    <w:tc>
                      <w:tcPr>
                        <w:tcW w:w="1000" w:type="pct"/>
                        <w:tcBorders>
                          <w:top w:val="none" w:color="000000" w:sz="0"/>
                          <w:left w:val="none" w:color="000000" w:sz="0"/>
                          <w:bottom w:val="none" w:color="000000" w:sz="0"/>
                          <w:right w:val="none" w:color="000000" w:sz="0"/>
                        </w:tcBorders>
                        <w:tcMar/>
                        <w:vAlign w:val="top"/>
                      </w:tcPr>
                      <w:p>
                        <w:r>
                          <w:t xml:space="preserve">7.04 </w:t>
                        </w:r>
                      </w:p>
                    </w:tc>
                    <w:tc>
                      <w:tcPr>
                        <w:tcBorders>
                          <w:top w:val="none" w:color="000000" w:sz="0"/>
                          <w:left w:val="none" w:color="000000" w:sz="0"/>
                          <w:bottom w:val="none" w:color="000000" w:sz="0"/>
                          <w:right w:val="none" w:color="000000" w:sz="0"/>
                        </w:tcBorders>
                        <w:tcMar/>
                        <w:vAlign w:val="top"/>
                      </w:tcPr>
                      <w:p>
                        <w:r>
                          <w:t xml:space="preserve">Other support services</w:t>
                        </w:r>
                      </w:p>
                    </w:tc>
                  </w:tr>
                </w:tbl>
                <w:p/>
              </w:tc>
            </w:tr>
          </w:tbl>
          <w:p/>
        </w:tc>
      </w:tr>
    </w:tbl>
    <w:p>
      <w:r>
        <w:br/>
      </w:r>
    </w:p>
    <w:sectPr>
      <w:footerReference xmlns:r="http://schemas.openxmlformats.org/officeDocument/2006/relationships" w:type="default" r:id="Rb52a41b680ad4a8a"/>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461640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b2c5ae056a4e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2a41b680ad4a8a" /><Relationship Type="http://schemas.openxmlformats.org/officeDocument/2006/relationships/header" Target="/word/header1.xml" Id="R63044021051c44c5" /><Relationship Type="http://schemas.openxmlformats.org/officeDocument/2006/relationships/settings" Target="/word/settings.xml" Id="R0a0d32e9ef664e00" /><Relationship Type="http://schemas.openxmlformats.org/officeDocument/2006/relationships/styles" Target="/word/styles.xml" Id="R6e5871eea28d4ceb" /><Relationship Type="http://schemas.openxmlformats.org/officeDocument/2006/relationships/hyperlink" Target="https://meteor-uat.aihw.gov.au/content/492069" TargetMode="External" Id="R519eb0bcf2f649ab" /><Relationship Type="http://schemas.openxmlformats.org/officeDocument/2006/relationships/hyperlink" Target="https://meteor-uat.aihw.gov.au/content/492131" TargetMode="External" Id="R19b4f98237a14fa0" /><Relationship Type="http://schemas.openxmlformats.org/officeDocument/2006/relationships/hyperlink" Target="https://meteor-uat.aihw.gov.au/content/386443" TargetMode="External" Id="R4df223e371fc4584" /><Relationship Type="http://schemas.openxmlformats.org/officeDocument/2006/relationships/hyperlink" Target="https://meteor-uat.aihw.gov.au/content/497979" TargetMode="External" Id="Rabd406df7bfa48a1" /><Relationship Type="http://schemas.openxmlformats.org/officeDocument/2006/relationships/hyperlink" Target="https://meteor-uat.aihw.gov.au/content/321004" TargetMode="External" Id="Rfadc50bc0c064404" /><Relationship Type="http://schemas.openxmlformats.org/officeDocument/2006/relationships/hyperlink" Target="https://meteor-uat.aihw.gov.au/content/322239" TargetMode="External" Id="Rd43c1c817867490b" /><Relationship Type="http://schemas.openxmlformats.org/officeDocument/2006/relationships/hyperlink" Target="https://meteor-uat.aihw.gov.au/content/350937" TargetMode="External" Id="R0c920efc42da40e7" /><Relationship Type="http://schemas.openxmlformats.org/officeDocument/2006/relationships/hyperlink" Target="https://meteor-uat.aihw.gov.au/content/497735" TargetMode="External" Id="Rdbf36dba01cc4b28" /><Relationship Type="http://schemas.openxmlformats.org/officeDocument/2006/relationships/hyperlink" Target="https://meteor-uat.aihw.gov.au/content/430134" TargetMode="External" Id="R80a9ea78f5c94585" /><Relationship Type="http://schemas.openxmlformats.org/officeDocument/2006/relationships/hyperlink" Target="https://meteor-uat.aihw.gov.au/content/497726" TargetMode="External" Id="R4566356be92b4a0c" /><Relationship Type="http://schemas.openxmlformats.org/officeDocument/2006/relationships/hyperlink" Target="https://meteor-uat.aihw.gov.au/content/349510" TargetMode="External" Id="R2ccf626556ea48ca" /><Relationship Type="http://schemas.openxmlformats.org/officeDocument/2006/relationships/hyperlink" Target="https://meteor-uat.aihw.gov.au/content/349481" TargetMode="External" Id="Rf207d609ba7847a7" /><Relationship Type="http://schemas.openxmlformats.org/officeDocument/2006/relationships/hyperlink" Target="https://meteor-uat.aihw.gov.au/content/349483" TargetMode="External" Id="R797bbce5dbf249ef" /><Relationship Type="http://schemas.openxmlformats.org/officeDocument/2006/relationships/hyperlink" Target="https://meteor-uat.aihw.gov.au/content/287007" TargetMode="External" Id="R7b228effada24899" /><Relationship Type="http://schemas.openxmlformats.org/officeDocument/2006/relationships/hyperlink" Target="https://meteor-uat.aihw.gov.au/content/287316" TargetMode="External" Id="R114a4cc42619449b" /><Relationship Type="http://schemas.openxmlformats.org/officeDocument/2006/relationships/hyperlink" Target="https://meteor-uat.aihw.gov.au/content/349895" TargetMode="External" Id="R2e488e9436674307" /><Relationship Type="http://schemas.openxmlformats.org/officeDocument/2006/relationships/hyperlink" Target="https://meteor-uat.aihw.gov.au/content/294429" TargetMode="External" Id="R3192a1a1a79b4db8" /><Relationship Type="http://schemas.openxmlformats.org/officeDocument/2006/relationships/hyperlink" Target="https://meteor-uat.aihw.gov.au/content/429894" TargetMode="External" Id="R248858dcba9e4a9e" /><Relationship Type="http://schemas.openxmlformats.org/officeDocument/2006/relationships/hyperlink" Target="https://meteor-uat.aihw.gov.au/content/323093" TargetMode="External" Id="Rbe5a87c1de1240be" /><Relationship Type="http://schemas.openxmlformats.org/officeDocument/2006/relationships/hyperlink" Target="https://meteor-uat.aihw.gov.au/content/498190" TargetMode="External" Id="R3173320ccf0c42d9" /><Relationship Type="http://schemas.openxmlformats.org/officeDocument/2006/relationships/hyperlink" Target="https://meteor-uat.aihw.gov.au/content/270167" TargetMode="External" Id="R35c91f1a5ddc4dc7" /><Relationship Type="http://schemas.openxmlformats.org/officeDocument/2006/relationships/hyperlink" Target="https://meteor-uat.aihw.gov.au/content/323760" TargetMode="External" Id="R6d51c35a4eb84089" /><Relationship Type="http://schemas.openxmlformats.org/officeDocument/2006/relationships/hyperlink" Target="https://meteor-uat.aihw.gov.au/content/376502" TargetMode="External" Id="R52a09f654f55450e" /><Relationship Type="http://schemas.openxmlformats.org/officeDocument/2006/relationships/hyperlink" Target="https://meteor-uat.aihw.gov.au/content/323286" TargetMode="External" Id="Rff76164252f94ecf" /><Relationship Type="http://schemas.openxmlformats.org/officeDocument/2006/relationships/hyperlink" Target="https://meteor-uat.aihw.gov.au/content/345093" TargetMode="External" Id="Rf901b1c6bca54b23" /><Relationship Type="http://schemas.openxmlformats.org/officeDocument/2006/relationships/hyperlink" Target="https://meteor-uat.aihw.gov.au/content/459973" TargetMode="External" Id="Rdd6b1b9be032490a" /><Relationship Type="http://schemas.openxmlformats.org/officeDocument/2006/relationships/hyperlink" Target="https://meteor-uat.aihw.gov.au/content/345049" TargetMode="External" Id="R73fa9ab0be914576" /><Relationship Type="http://schemas.openxmlformats.org/officeDocument/2006/relationships/hyperlink" Target="https://meteor-uat.aihw.gov.au/content/323170" TargetMode="External" Id="R8f8294c6e56b4d6e" /><Relationship Type="http://schemas.openxmlformats.org/officeDocument/2006/relationships/hyperlink" Target="https://meteor-uat.aihw.gov.au/content/291036" TargetMode="External" Id="R189dddd6b7f94378" /><Relationship Type="http://schemas.openxmlformats.org/officeDocument/2006/relationships/hyperlink" Target="https://meteor-uat.aihw.gov.au/content/320939" TargetMode="External" Id="Rd9c46e8084f34e64" /><Relationship Type="http://schemas.openxmlformats.org/officeDocument/2006/relationships/hyperlink" Target="https://meteor-uat.aihw.gov.au/content/304294" TargetMode="External" Id="R7a8e68a1fe574cfc" /><Relationship Type="http://schemas.openxmlformats.org/officeDocument/2006/relationships/hyperlink" Target="https://meteor-uat.aihw.gov.au/content/270112" TargetMode="External" Id="R0325372c568645a7" /><Relationship Type="http://schemas.openxmlformats.org/officeDocument/2006/relationships/hyperlink" Target="https://meteor-uat.aihw.gov.au/content/270385" TargetMode="External" Id="Rf59b9db039df4116" /><Relationship Type="http://schemas.openxmlformats.org/officeDocument/2006/relationships/hyperlink" Target="https://meteor-uat.aihw.gov.au/content/511278" TargetMode="External" Id="Ra4d5d7a585474b26" /><Relationship Type="http://schemas.openxmlformats.org/officeDocument/2006/relationships/hyperlink" Target="https://meteor-uat.aihw.gov.au/content/511282" TargetMode="External" Id="Rfef042e107424638" /><Relationship Type="http://schemas.openxmlformats.org/officeDocument/2006/relationships/hyperlink" Target="https://meteor-uat.aihw.gov.au/content/386445" TargetMode="External" Id="R8b3c01d98d654927" /><Relationship Type="http://schemas.openxmlformats.org/officeDocument/2006/relationships/hyperlink" Target="https://meteor-uat.aihw.gov.au/content/386449" TargetMode="External" Id="R104766a79fa24e92" /><Relationship Type="http://schemas.openxmlformats.org/officeDocument/2006/relationships/hyperlink" Target="https://meteor-uat.aihw.gov.au/content/323185" TargetMode="External" Id="R694a50f70585411b" /><Relationship Type="http://schemas.openxmlformats.org/officeDocument/2006/relationships/hyperlink" Target="https://meteor-uat.aihw.gov.au/content/386453" TargetMode="External" Id="Re43dc1ee963d461e" /><Relationship Type="http://schemas.openxmlformats.org/officeDocument/2006/relationships/hyperlink" Target="https://meteor-uat.aihw.gov.au/content/270160" TargetMode="External" Id="R5a9b155f613a43a1" /><Relationship Type="http://schemas.openxmlformats.org/officeDocument/2006/relationships/hyperlink" Target="https://meteor-uat.aihw.gov.au/content/338558" TargetMode="External" Id="R657a4833ff944a9f" /><Relationship Type="http://schemas.openxmlformats.org/officeDocument/2006/relationships/hyperlink" Target="https://meteor-uat.aihw.gov.au/content/386527" TargetMode="External" Id="R5c0c27384861458a" /><Relationship Type="http://schemas.openxmlformats.org/officeDocument/2006/relationships/hyperlink" Target="https://meteor-uat.aihw.gov.au/content/323253" TargetMode="External" Id="Raa098274383049c0" /><Relationship Type="http://schemas.openxmlformats.org/officeDocument/2006/relationships/hyperlink" Target="https://meteor-uat.aihw.gov.au/content/322176" TargetMode="External" Id="R82bc7ab385e949ba" /><Relationship Type="http://schemas.openxmlformats.org/officeDocument/2006/relationships/hyperlink" Target="https://meteor-uat.aihw.gov.au/content/321039" TargetMode="External" Id="Rc440b1c1d18a48db" /><Relationship Type="http://schemas.openxmlformats.org/officeDocument/2006/relationships/hyperlink" Target="https://meteor-uat.aihw.gov.au/content/455566" TargetMode="External" Id="R83e447d7dc0143e7" /><Relationship Type="http://schemas.openxmlformats.org/officeDocument/2006/relationships/hyperlink" Target="https://meteor-uat.aihw.gov.au/content/347870" TargetMode="External" Id="R2ff5b1fdad5e4f35" /><Relationship Type="http://schemas.openxmlformats.org/officeDocument/2006/relationships/hyperlink" Target="https://meteor-uat.aihw.gov.au/content/347882" TargetMode="External" Id="Re8cfb97f070842b0" /><Relationship Type="http://schemas.openxmlformats.org/officeDocument/2006/relationships/hyperlink" Target="https://meteor-uat.aihw.gov.au/content/321271" TargetMode="External" Id="Ree0d25c1e1b44c13" /><Relationship Type="http://schemas.openxmlformats.org/officeDocument/2006/relationships/hyperlink" Target="https://meteor-uat.aihw.gov.au/content/323188" TargetMode="External" Id="R15c7e017382f43c2" /><Relationship Type="http://schemas.openxmlformats.org/officeDocument/2006/relationships/hyperlink" Target="https://meteor-uat.aihw.gov.au/content/270376" TargetMode="External" Id="Re335c6f4fe1f4d55" /><Relationship Type="http://schemas.openxmlformats.org/officeDocument/2006/relationships/hyperlink" Target="https://meteor-uat.aihw.gov.au/content/270377" TargetMode="External" Id="R2428ae6572434513" /><Relationship Type="http://schemas.openxmlformats.org/officeDocument/2006/relationships/hyperlink" Target="https://meteor-uat.aihw.gov.au/content/386477" TargetMode="External" Id="R07ba9fd441b543ff" /><Relationship Type="http://schemas.openxmlformats.org/officeDocument/2006/relationships/hyperlink" Target="https://meteor-uat.aihw.gov.au/content/386479" TargetMode="External" Id="R7f53f120562b42d1" /><Relationship Type="http://schemas.openxmlformats.org/officeDocument/2006/relationships/hyperlink" Target="https://meteor-uat.aihw.gov.au/content/500887" TargetMode="External" Id="R6213a036c7dd44ac" /></Relationships>
</file>

<file path=word/_rels/header1.xml.rels>&#65279;<?xml version="1.0" encoding="utf-8"?><Relationships xmlns="http://schemas.openxmlformats.org/package/2006/relationships"><Relationship Type="http://schemas.openxmlformats.org/officeDocument/2006/relationships/image" Target="/media/image.png" Id="R51b2c5ae056a4e45" /></Relationships>
</file>