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09b9e78fe8f4daa" /></Relationships>
</file>

<file path=word/document.xml><?xml version="1.0" encoding="utf-8"?>
<w:document xmlns:r="http://schemas.openxmlformats.org/officeDocument/2006/relationships" xmlns:w="http://schemas.openxmlformats.org/wordprocessingml/2006/main">
  <w:body>
    <w:p>
      <w:pPr>
        <w:pStyle w:val="Title"/>
      </w:pPr>
      <w:r>
        <w:t>Person—level of functional independence, Functional Independence Measure score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Person—level of functional independence, Functional Independence Measure score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functional independence (FIM™ score)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449150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d95c3072ba41df">
              <w:r>
                <w:rPr>
                  <w:rStyle w:val="Hyperlink"/>
                  <w:color w:val="244061"/>
                </w:rPr>
                <w:t xml:space="preserve">Tasmanian Health</w:t>
              </w:r>
            </w:hyperlink>
            <w:r>
              <w:rPr>
                <w:rStyle w:val="row-content"/>
                <w:color w:val="244061"/>
              </w:rPr>
              <w:t xml:space="preserve">, Superseded 19/01/2018</w:t>
            </w:r>
          </w:p>
          <w:p>
            <w:pPr>
              <w:spacing w:before="0" w:after="0"/>
            </w:pPr>
            <w:hyperlink w:history="true" r:id="R26ce3b6e85a64d55">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person's level of functional independence, as represented by a FIM™ score-based code.</w:t>
            </w:r>
          </w:p>
          <w:p>
            <w:pPr/>
            <w:r>
              <w:rPr>
                <w:rStyle w:val="row-content-rich-text"/>
              </w:rPr>
              <w:t xml:space="preserve">Functional independence is the ability to carry out activities of daily living safely and autonomously.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f3ce6b970564707">
              <w:r>
                <w:rPr>
                  <w:rStyle w:val="Hyperlink"/>
                </w:rPr>
                <w:t xml:space="preserve">Person—level of functional independence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542f6eaad6d408f">
              <w:r>
                <w:rPr>
                  <w:rStyle w:val="Hyperlink"/>
                </w:rPr>
                <w:t xml:space="preserve">Functional Independence Measure score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Total assistance with helper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Maximal assistance with helper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Moderate assistance with helper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Minimal assistance with helper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Supervision or setup with helper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Modified independence with no helper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r>
              <w:br/>
            </w:r>
            <w:r>
              <w:t xml:space="preserve"> </w:t>
            </w:r>
          </w:p>
        </w:tc>
        <w:tc>
          <w:tcPr>
            <w:tcBorders>
              <w:top w:val="none" w:color="000000" w:sz="0"/>
              <w:left w:val="none" w:color="000000" w:sz="0"/>
              <w:bottom w:val="none" w:color="000000" w:sz="0"/>
              <w:right w:val="none" w:color="000000" w:sz="0"/>
            </w:tcBorders>
            <w:vAlign w:val="top"/>
          </w:tcPr>
          <w:p>
            <w:r>
              <w:t xml:space="preserve">Complete independence with no helper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Functional Independence Measure (FIM™) is an instrument which indicates a patient's disability level.</w:t>
            </w:r>
          </w:p>
          <w:p>
            <w:pPr>
              <w:spacing w:after="160"/>
            </w:pPr>
            <w:r>
              <w:rPr>
                <w:rStyle w:val="row-content-rich-text"/>
              </w:rPr>
              <w:t xml:space="preserve">FIM™ is comprised of 18 items, grouped into 2 subscales - motor and cognition.</w:t>
            </w:r>
          </w:p>
          <w:p>
            <w:pPr>
              <w:spacing w:after="160"/>
            </w:pPr>
            <w:r>
              <w:rPr>
                <w:rStyle w:val="row-content-rich-text"/>
              </w:rPr>
              <w:t xml:space="preserve">The motor subscale includes:</w:t>
            </w:r>
          </w:p>
          <w:p>
            <w:pPr>
              <w:pStyle w:val="ListParagraph"/>
              <w:numPr>
                <w:ilvl w:val="0"/>
                <w:numId w:val="2"/>
              </w:numPr>
            </w:pPr>
            <w:r>
              <w:rPr>
                <w:rStyle w:val="row-content-rich-text"/>
              </w:rPr>
              <w:t xml:space="preserve">Eating</w:t>
            </w:r>
          </w:p>
          <w:p>
            <w:pPr>
              <w:pStyle w:val="ListParagraph"/>
              <w:numPr>
                <w:ilvl w:val="0"/>
                <w:numId w:val="2"/>
              </w:numPr>
            </w:pPr>
            <w:r>
              <w:rPr>
                <w:rStyle w:val="row-content-rich-text"/>
              </w:rPr>
              <w:t xml:space="preserve">Grooming</w:t>
            </w:r>
          </w:p>
          <w:p>
            <w:pPr>
              <w:pStyle w:val="ListParagraph"/>
              <w:numPr>
                <w:ilvl w:val="0"/>
                <w:numId w:val="2"/>
              </w:numPr>
            </w:pPr>
            <w:r>
              <w:rPr>
                <w:rStyle w:val="row-content-rich-text"/>
              </w:rPr>
              <w:t xml:space="preserve">Bathing</w:t>
            </w:r>
          </w:p>
          <w:p>
            <w:pPr>
              <w:pStyle w:val="ListParagraph"/>
              <w:numPr>
                <w:ilvl w:val="0"/>
                <w:numId w:val="2"/>
              </w:numPr>
            </w:pPr>
            <w:r>
              <w:rPr>
                <w:rStyle w:val="row-content-rich-text"/>
              </w:rPr>
              <w:t xml:space="preserve">Dressing, upper body</w:t>
            </w:r>
          </w:p>
          <w:p>
            <w:pPr>
              <w:pStyle w:val="ListParagraph"/>
              <w:numPr>
                <w:ilvl w:val="0"/>
                <w:numId w:val="2"/>
              </w:numPr>
            </w:pPr>
            <w:r>
              <w:rPr>
                <w:rStyle w:val="row-content-rich-text"/>
              </w:rPr>
              <w:t xml:space="preserve">Dressing, lower body</w:t>
            </w:r>
          </w:p>
          <w:p>
            <w:pPr>
              <w:pStyle w:val="ListParagraph"/>
              <w:numPr>
                <w:ilvl w:val="0"/>
                <w:numId w:val="2"/>
              </w:numPr>
            </w:pPr>
            <w:r>
              <w:rPr>
                <w:rStyle w:val="row-content-rich-text"/>
              </w:rPr>
              <w:t xml:space="preserve">Toileting</w:t>
            </w:r>
          </w:p>
          <w:p>
            <w:pPr>
              <w:pStyle w:val="ListParagraph"/>
              <w:numPr>
                <w:ilvl w:val="0"/>
                <w:numId w:val="2"/>
              </w:numPr>
            </w:pPr>
            <w:r>
              <w:rPr>
                <w:rStyle w:val="row-content-rich-text"/>
              </w:rPr>
              <w:t xml:space="preserve">Bladder management</w:t>
            </w:r>
          </w:p>
          <w:p>
            <w:pPr>
              <w:pStyle w:val="ListParagraph"/>
              <w:numPr>
                <w:ilvl w:val="0"/>
                <w:numId w:val="2"/>
              </w:numPr>
            </w:pPr>
            <w:r>
              <w:rPr>
                <w:rStyle w:val="row-content-rich-text"/>
              </w:rPr>
              <w:t xml:space="preserve">Bowel management</w:t>
            </w:r>
          </w:p>
          <w:p>
            <w:pPr>
              <w:pStyle w:val="ListParagraph"/>
              <w:numPr>
                <w:ilvl w:val="0"/>
                <w:numId w:val="2"/>
              </w:numPr>
            </w:pPr>
            <w:r>
              <w:rPr>
                <w:rStyle w:val="row-content-rich-text"/>
              </w:rPr>
              <w:t xml:space="preserve">Transfers - bed/chair/wheelchair</w:t>
            </w:r>
          </w:p>
          <w:p>
            <w:pPr>
              <w:pStyle w:val="ListParagraph"/>
              <w:numPr>
                <w:ilvl w:val="0"/>
                <w:numId w:val="2"/>
              </w:numPr>
            </w:pPr>
            <w:r>
              <w:rPr>
                <w:rStyle w:val="row-content-rich-text"/>
              </w:rPr>
              <w:t xml:space="preserve">Transfers - toilet</w:t>
            </w:r>
          </w:p>
          <w:p>
            <w:pPr>
              <w:pStyle w:val="ListParagraph"/>
              <w:numPr>
                <w:ilvl w:val="0"/>
                <w:numId w:val="2"/>
              </w:numPr>
            </w:pPr>
            <w:r>
              <w:rPr>
                <w:rStyle w:val="row-content-rich-text"/>
              </w:rPr>
              <w:t xml:space="preserve">Transfers - bath/shower</w:t>
            </w:r>
          </w:p>
          <w:p>
            <w:pPr>
              <w:pStyle w:val="ListParagraph"/>
              <w:numPr>
                <w:ilvl w:val="0"/>
                <w:numId w:val="2"/>
              </w:numPr>
            </w:pPr>
            <w:r>
              <w:rPr>
                <w:rStyle w:val="row-content-rich-text"/>
              </w:rPr>
              <w:t xml:space="preserve">Walk/wheelchair</w:t>
            </w:r>
          </w:p>
          <w:p>
            <w:pPr>
              <w:pStyle w:val="ListParagraph"/>
              <w:numPr>
                <w:ilvl w:val="0"/>
                <w:numId w:val="2"/>
              </w:numPr>
            </w:pPr>
            <w:r>
              <w:rPr>
                <w:rStyle w:val="row-content-rich-text"/>
              </w:rPr>
              <w:t xml:space="preserve">Stairs </w:t>
            </w:r>
          </w:p>
          <w:p>
            <w:pPr>
              <w:spacing w:after="160"/>
            </w:pPr>
            <w:r>
              <w:rPr>
                <w:rStyle w:val="row-content-rich-text"/>
              </w:rPr>
              <w:t xml:space="preserve">The cognition subscale includes:</w:t>
            </w:r>
          </w:p>
          <w:p>
            <w:pPr>
              <w:pStyle w:val="ListParagraph"/>
              <w:numPr>
                <w:ilvl w:val="0"/>
                <w:numId w:val="3"/>
              </w:numPr>
            </w:pPr>
            <w:r>
              <w:rPr>
                <w:rStyle w:val="row-content-rich-text"/>
              </w:rPr>
              <w:t xml:space="preserve">Comprehension</w:t>
            </w:r>
          </w:p>
          <w:p>
            <w:pPr>
              <w:pStyle w:val="ListParagraph"/>
              <w:numPr>
                <w:ilvl w:val="0"/>
                <w:numId w:val="3"/>
              </w:numPr>
            </w:pPr>
            <w:r>
              <w:rPr>
                <w:rStyle w:val="row-content-rich-text"/>
              </w:rPr>
              <w:t xml:space="preserve">Expression</w:t>
            </w:r>
          </w:p>
          <w:p>
            <w:pPr>
              <w:pStyle w:val="ListParagraph"/>
              <w:numPr>
                <w:ilvl w:val="0"/>
                <w:numId w:val="3"/>
              </w:numPr>
            </w:pPr>
            <w:r>
              <w:rPr>
                <w:rStyle w:val="row-content-rich-text"/>
              </w:rPr>
              <w:t xml:space="preserve">Social interaction</w:t>
            </w:r>
          </w:p>
          <w:p>
            <w:pPr>
              <w:pStyle w:val="ListParagraph"/>
              <w:numPr>
                <w:ilvl w:val="0"/>
                <w:numId w:val="3"/>
              </w:numPr>
            </w:pPr>
            <w:r>
              <w:rPr>
                <w:rStyle w:val="row-content-rich-text"/>
              </w:rPr>
              <w:t xml:space="preserve">Problem solving</w:t>
            </w:r>
          </w:p>
          <w:p>
            <w:pPr>
              <w:pStyle w:val="ListParagraph"/>
              <w:numPr>
                <w:ilvl w:val="0"/>
                <w:numId w:val="3"/>
              </w:numPr>
            </w:pPr>
            <w:r>
              <w:rPr>
                <w:rStyle w:val="row-content-rich-text"/>
              </w:rPr>
              <w:t xml:space="preserve">Memory </w:t>
            </w:r>
          </w:p>
          <w:p>
            <w:pPr/>
            <w:r>
              <w:rPr>
                <w:rStyle w:val="row-content-rich-text"/>
              </w:rPr>
              <w:t xml:space="preserve">Each item is scored on a 7 point ordinal scale, ranging from a score of 1 to a score of 7. The higher the score, the more independent the patient is in performing the task associated with that item. The total FIM™ score ranges from 18 to 126.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60166042a514245">
              <w:r>
                <w:rPr>
                  <w:rStyle w:val="Hyperlink"/>
                </w:rPr>
                <w:t xml:space="preserve">Person—level of functional independence, Functional Independence Measure score code N</w:t>
              </w:r>
            </w:hyperlink>
          </w:p>
          <w:p>
            <w:pPr>
              <w:pStyle w:val="registration-status"/>
              <w:spacing w:before="0" w:after="0"/>
            </w:pPr>
            <w:hyperlink w:history="true" r:id="Rf8dee1ffce4b4b02">
              <w:r>
                <w:rPr>
                  <w:rStyle w:val="Hyperlink"/>
                  <w:color w:val="244061"/>
                </w:rPr>
                <w:t xml:space="preserve">Health!</w:t>
              </w:r>
            </w:hyperlink>
            <w:r>
              <w:rPr>
                <w:rStyle w:val="row-content"/>
                <w:color w:val="244061"/>
              </w:rPr>
              <w:t xml:space="preserve">, Superseded 18/12/2019</w:t>
            </w:r>
          </w:p>
          <w:p>
            <w:pPr>
              <w:pStyle w:val="registration-status"/>
              <w:spacing w:before="0" w:after="0"/>
            </w:pPr>
            <w:hyperlink w:history="true" r:id="Rfbdd7ce0407f4d44">
              <w:r>
                <w:rPr>
                  <w:rStyle w:val="Hyperlink"/>
                  <w:color w:val="244061"/>
                </w:rPr>
                <w:t xml:space="preserve">Tasmanian Health</w:t>
              </w:r>
            </w:hyperlink>
            <w:r>
              <w:rPr>
                <w:rStyle w:val="row-content"/>
                <w:color w:val="244061"/>
              </w:rPr>
              <w:t xml:space="preserve">, Superseded 06/05/2020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c0a61cb087a4116">
              <w:r>
                <w:rPr>
                  <w:rStyle w:val="Hyperlink"/>
                </w:rPr>
                <w:t xml:space="preserve">Admitted subacute and non-acute hospital care DSS 2014-15</w:t>
              </w:r>
            </w:hyperlink>
          </w:p>
          <w:p>
            <w:pPr>
              <w:pStyle w:val="registration-status"/>
              <w:spacing w:before="0" w:after="0"/>
            </w:pPr>
            <w:hyperlink w:history="true" r:id="Rfcb9e3ed05ab4dbe">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Only the Functional Independence Measure scores at admission are required to be reported.</w:t>
            </w:r>
          </w:p>
          <w:p>
            <w:r>
              <w:rPr>
                <w:rStyle w:val="row-content"/>
              </w:rPr>
              <w:t xml:space="preserve">Only required to be reported for episodes of admitted patient care with </w:t>
            </w:r>
            <w:hyperlink w:history="true" r:id="R55a123acf54146f4">
              <w:r>
                <w:rPr>
                  <w:rStyle w:val="Hyperlink"/>
                </w:rPr>
                <w:t xml:space="preserve">Hospital service—care type, code N[N]</w:t>
              </w:r>
            </w:hyperlink>
            <w:r>
              <w:rPr>
                <w:rStyle w:val="row-content"/>
              </w:rPr>
              <w:t xml:space="preserve"> recorded as:</w:t>
            </w:r>
          </w:p>
          <w:p>
            <w:pPr>
              <w:pStyle w:val="ListParagraph"/>
              <w:numPr>
                <w:ilvl w:val="0"/>
                <w:numId w:val="4"/>
              </w:numPr>
            </w:pPr>
            <w:r>
              <w:rPr>
                <w:rStyle w:val="row-content"/>
              </w:rPr>
              <w:t xml:space="preserve">Code 2, Rehabilitation care; or</w:t>
            </w:r>
            <w:r>
              <w:br/>
            </w:r>
          </w:p>
          <w:p>
            <w:pPr>
              <w:pStyle w:val="ListParagraph"/>
              <w:numPr>
                <w:ilvl w:val="0"/>
                <w:numId w:val="4"/>
              </w:numPr>
            </w:pPr>
            <w:r>
              <w:rPr>
                <w:rStyle w:val="row-content"/>
              </w:rPr>
              <w:t xml:space="preserve">Code 4, Geriatric evaluation and management.</w:t>
            </w:r>
            <w:r>
              <w:br/>
            </w:r>
          </w:p>
          <w:p>
            <w:r>
              <w:rPr>
                <w:rStyle w:val="row-content"/>
              </w:rPr>
              <w:t xml:space="preserve">Only required to be reported when the </w:t>
            </w:r>
            <w:hyperlink w:history="true" r:id="R5a304c94488746b1">
              <w:r>
                <w:rPr>
                  <w:rStyle w:val="Hyperlink"/>
                </w:rPr>
                <w:t xml:space="preserve">Episode of admitted patient care—clinical assessment only indicator, yes/no code N</w:t>
              </w:r>
            </w:hyperlink>
            <w:r>
              <w:rPr>
                <w:rStyle w:val="row-content"/>
              </w:rPr>
              <w:t xml:space="preserve"> value is recorded as Code 2, No.</w:t>
            </w:r>
          </w:p>
          <w:p>
            <w:r>
              <w:rPr>
                <w:rStyle w:val="row-content"/>
              </w:rPr>
              <w:t xml:space="preserve">Not required to be reported for patients aged 16 years and under at admission.</w:t>
            </w:r>
          </w:p>
          <w:p>
            <w:r>
              <w:br/>
            </w:r>
            <w:r>
              <w:br/>
            </w:r>
            <w:hyperlink w:history="true" r:id="R104d5247f61b44d8">
              <w:r>
                <w:rPr>
                  <w:rStyle w:val="Hyperlink"/>
                </w:rPr>
                <w:t xml:space="preserve">Admitted subacute and non-acute hospital care DSS 2015-16</w:t>
              </w:r>
            </w:hyperlink>
          </w:p>
          <w:p>
            <w:pPr>
              <w:pStyle w:val="registration-status"/>
              <w:spacing w:before="0" w:after="0"/>
            </w:pPr>
            <w:hyperlink w:history="true" r:id="R5881cc4f75704ca4">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Only the Functional Independence Measure scores at admission are required to be reported.</w:t>
            </w:r>
          </w:p>
          <w:p>
            <w:r>
              <w:rPr>
                <w:rStyle w:val="row-content"/>
              </w:rPr>
              <w:t xml:space="preserve">Only required to be reported for episodes of admitted patient care with </w:t>
            </w:r>
            <w:hyperlink w:history="true" r:id="R3179c2cfc4024a53">
              <w:r>
                <w:rPr>
                  <w:rStyle w:val="Hyperlink"/>
                </w:rPr>
                <w:t xml:space="preserve">Hospital service—care type, code N[N]</w:t>
              </w:r>
            </w:hyperlink>
            <w:r>
              <w:rPr>
                <w:rStyle w:val="row-content"/>
              </w:rPr>
              <w:t xml:space="preserve"> recorded as:</w:t>
            </w:r>
          </w:p>
          <w:p>
            <w:pPr>
              <w:pStyle w:val="ListParagraph"/>
              <w:numPr>
                <w:ilvl w:val="0"/>
                <w:numId w:val="5"/>
              </w:numPr>
            </w:pPr>
            <w:r>
              <w:rPr>
                <w:rStyle w:val="row-content"/>
              </w:rPr>
              <w:t xml:space="preserve">Code 2, Rehabilitation care; or</w:t>
            </w:r>
            <w:r>
              <w:br/>
            </w:r>
          </w:p>
          <w:p>
            <w:pPr>
              <w:pStyle w:val="ListParagraph"/>
              <w:numPr>
                <w:ilvl w:val="0"/>
                <w:numId w:val="5"/>
              </w:numPr>
            </w:pPr>
            <w:r>
              <w:rPr>
                <w:rStyle w:val="row-content"/>
              </w:rPr>
              <w:t xml:space="preserve">Code 4, Geriatric evaluation and management.</w:t>
            </w:r>
            <w:r>
              <w:br/>
            </w:r>
          </w:p>
          <w:p>
            <w:r>
              <w:br/>
            </w:r>
            <w:r>
              <w:br/>
            </w:r>
            <w:hyperlink w:history="true" r:id="Rc52c71d00b9849db">
              <w:r>
                <w:rPr>
                  <w:rStyle w:val="Hyperlink"/>
                </w:rPr>
                <w:t xml:space="preserve">Admitted subacute and non-acute hospital care NBEDS 2016-17</w:t>
              </w:r>
            </w:hyperlink>
          </w:p>
          <w:p>
            <w:pPr>
              <w:pStyle w:val="registration-status"/>
              <w:spacing w:before="0" w:after="0"/>
            </w:pPr>
            <w:hyperlink w:history="true" r:id="R3060e2130a0f47a3">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Only the Functional Independence Measure scores at admission are required to be reported.</w:t>
            </w:r>
          </w:p>
          <w:p>
            <w:r>
              <w:rPr>
                <w:rStyle w:val="row-content"/>
              </w:rPr>
              <w:t xml:space="preserve">Only required to be reported for episodes of admitted patient care with </w:t>
            </w:r>
            <w:hyperlink w:history="true" r:id="R6bcdd14c8f23429a">
              <w:r>
                <w:rPr>
                  <w:rStyle w:val="Hyperlink"/>
                </w:rPr>
                <w:t xml:space="preserve">Hospital service—care type, code N[N]</w:t>
              </w:r>
            </w:hyperlink>
            <w:r>
              <w:rPr>
                <w:rStyle w:val="row-content"/>
              </w:rPr>
              <w:t xml:space="preserve"> recorded as:</w:t>
            </w:r>
          </w:p>
          <w:p>
            <w:pPr>
              <w:pStyle w:val="ListParagraph"/>
              <w:numPr>
                <w:ilvl w:val="0"/>
                <w:numId w:val="6"/>
              </w:numPr>
            </w:pPr>
            <w:r>
              <w:rPr>
                <w:rStyle w:val="row-content"/>
              </w:rPr>
              <w:t xml:space="preserve">Code 2, Rehabilitation care; or</w:t>
            </w:r>
            <w:r>
              <w:br/>
            </w:r>
          </w:p>
          <w:p>
            <w:pPr>
              <w:pStyle w:val="ListParagraph"/>
              <w:numPr>
                <w:ilvl w:val="0"/>
                <w:numId w:val="6"/>
              </w:numPr>
            </w:pPr>
            <w:r>
              <w:rPr>
                <w:rStyle w:val="row-content"/>
              </w:rPr>
              <w:t xml:space="preserve">Code 4, Geriatric evaluation and management.</w:t>
            </w:r>
            <w:r>
              <w:br/>
            </w:r>
          </w:p>
          <w:p>
            <w:r>
              <w:rPr>
                <w:rStyle w:val="row-content"/>
              </w:rPr>
              <w:t xml:space="preserve"> </w:t>
            </w:r>
          </w:p>
          <w:p>
            <w:r>
              <w:rPr>
                <w:rStyle w:val="row-content"/>
              </w:rPr>
              <w:t xml:space="preserve">Not required to be reported for patients aged 17 years and under at admission.</w:t>
            </w:r>
          </w:p>
          <w:p>
            <w:r>
              <w:rPr>
                <w:rStyle w:val="row-content"/>
              </w:rPr>
              <w:t xml:space="preserve"> </w:t>
            </w:r>
          </w:p>
          <w:p>
            <w:r>
              <w:br/>
            </w:r>
            <w:r>
              <w:br/>
            </w:r>
            <w:hyperlink w:history="true" r:id="Rd6fe293915724841">
              <w:r>
                <w:rPr>
                  <w:rStyle w:val="Hyperlink"/>
                </w:rPr>
                <w:t xml:space="preserve">Admitted subacute and non-acute hospital care NBEDS 2017-18</w:t>
              </w:r>
            </w:hyperlink>
          </w:p>
          <w:p>
            <w:pPr>
              <w:pStyle w:val="registration-status"/>
              <w:spacing w:before="0" w:after="0"/>
            </w:pPr>
            <w:hyperlink w:history="true" r:id="Rcea556942ce14f21">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3e72547fe2dc47bd">
              <w:r>
                <w:rPr>
                  <w:rStyle w:val="Hyperlink"/>
                  <w:color w:val="244061"/>
                </w:rPr>
                <w:t xml:space="preserve">Independent Hospital Pricing Authority</w:t>
              </w:r>
            </w:hyperlink>
            <w:r>
              <w:rPr>
                <w:rStyle w:val="row-content"/>
                <w:color w:val="244061"/>
              </w:rPr>
              <w:t xml:space="preserve">, Recorded 04/08/2016</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Only the Functional Independence Measure scores at admission are required to be reported.</w:t>
            </w:r>
          </w:p>
          <w:p>
            <w:r>
              <w:rPr>
                <w:rStyle w:val="row-content"/>
              </w:rPr>
              <w:t xml:space="preserve">Only required to be reported for episodes of admitted patient care with </w:t>
            </w:r>
            <w:hyperlink w:history="true" r:id="Rffc915263e5145cc">
              <w:r>
                <w:rPr>
                  <w:rStyle w:val="Hyperlink"/>
                </w:rPr>
                <w:t xml:space="preserve">Hospital service—care type, code N[N]</w:t>
              </w:r>
            </w:hyperlink>
            <w:r>
              <w:rPr>
                <w:rStyle w:val="row-content"/>
              </w:rPr>
              <w:t xml:space="preserve"> recorded as:</w:t>
            </w:r>
          </w:p>
          <w:p>
            <w:pPr>
              <w:pStyle w:val="ListParagraph"/>
              <w:numPr>
                <w:ilvl w:val="0"/>
                <w:numId w:val="7"/>
              </w:numPr>
            </w:pPr>
            <w:r>
              <w:rPr>
                <w:rStyle w:val="row-content"/>
              </w:rPr>
              <w:t xml:space="preserve">Code 2, Rehabilitation care; or</w:t>
            </w:r>
            <w:r>
              <w:br/>
            </w:r>
          </w:p>
          <w:p>
            <w:pPr>
              <w:pStyle w:val="ListParagraph"/>
              <w:numPr>
                <w:ilvl w:val="0"/>
                <w:numId w:val="7"/>
              </w:numPr>
            </w:pPr>
            <w:r>
              <w:rPr>
                <w:rStyle w:val="row-content"/>
              </w:rPr>
              <w:t xml:space="preserve">Code 4, Geriatric evaluation and management.</w:t>
            </w:r>
            <w:r>
              <w:br/>
            </w:r>
          </w:p>
          <w:p>
            <w:r>
              <w:rPr>
                <w:rStyle w:val="row-content"/>
              </w:rPr>
              <w:t xml:space="preserve">Not required to be reported for patients aged 17 years and under at admission.</w:t>
            </w:r>
          </w:p>
          <w:p>
            <w:r>
              <w:rPr>
                <w:rStyle w:val="row-content"/>
              </w:rPr>
              <w:t xml:space="preserve"> </w:t>
            </w:r>
          </w:p>
          <w:p>
            <w:r>
              <w:br/>
            </w:r>
            <w:r>
              <w:br/>
            </w:r>
            <w:hyperlink w:history="true" r:id="R6062b92e6dcc4de6">
              <w:r>
                <w:rPr>
                  <w:rStyle w:val="Hyperlink"/>
                </w:rPr>
                <w:t xml:space="preserve">Tasmanian Subacute/Non-acute Data Set - 2016</w:t>
              </w:r>
            </w:hyperlink>
          </w:p>
          <w:p>
            <w:pPr>
              <w:pStyle w:val="registration-status"/>
              <w:spacing w:before="0" w:after="0"/>
            </w:pPr>
            <w:hyperlink w:history="true" r:id="R5a798a9cfae64203">
              <w:r>
                <w:rPr>
                  <w:rStyle w:val="Hyperlink"/>
                  <w:color w:val="244061"/>
                </w:rPr>
                <w:t xml:space="preserve">Tasmanian Health</w:t>
              </w:r>
            </w:hyperlink>
            <w:r>
              <w:rPr>
                <w:rStyle w:val="row-content"/>
                <w:color w:val="244061"/>
              </w:rPr>
              <w:t xml:space="preserve">, Superseded 18/01/2018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75510dc13587476b">
              <w:r>
                <w:rPr>
                  <w:rStyle w:val="Hyperlink"/>
                </w:rPr>
                <w:t xml:space="preserve">Tasmanian Subacute/Non-acute Data Set - 2017</w:t>
              </w:r>
            </w:hyperlink>
          </w:p>
          <w:p>
            <w:pPr>
              <w:pStyle w:val="registration-status"/>
              <w:spacing w:before="0" w:after="0"/>
            </w:pPr>
            <w:hyperlink w:history="true" r:id="Rb2ed319466ba4126">
              <w:r>
                <w:rPr>
                  <w:rStyle w:val="Hyperlink"/>
                  <w:color w:val="244061"/>
                </w:rPr>
                <w:t xml:space="preserve">Tasmanian Health</w:t>
              </w:r>
            </w:hyperlink>
            <w:r>
              <w:rPr>
                <w:rStyle w:val="row-content"/>
                <w:color w:val="244061"/>
              </w:rPr>
              <w:t xml:space="preserve">, Superseded 18/01/2018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eeea6efb44044ee5">
              <w:r>
                <w:rPr>
                  <w:rStyle w:val="Hyperlink"/>
                </w:rPr>
                <w:t xml:space="preserve">Tasmanian Subacute/Non-acute Data Set - 2018</w:t>
              </w:r>
            </w:hyperlink>
          </w:p>
          <w:p>
            <w:pPr>
              <w:pStyle w:val="registration-status"/>
              <w:spacing w:before="0" w:after="0"/>
            </w:pPr>
            <w:hyperlink w:history="true" r:id="R93c6dade556b4ce0">
              <w:r>
                <w:rPr>
                  <w:rStyle w:val="Hyperlink"/>
                  <w:color w:val="244061"/>
                </w:rPr>
                <w:t xml:space="preserve">Tasmanian Health</w:t>
              </w:r>
            </w:hyperlink>
            <w:r>
              <w:rPr>
                <w:rStyle w:val="row-content"/>
                <w:color w:val="244061"/>
              </w:rPr>
              <w:t xml:space="preserve">, Superseded 06/05/2020</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210bb48089fd420d">
              <w:r>
                <w:rPr>
                  <w:rStyle w:val="Hyperlink"/>
                </w:rPr>
                <w:t xml:space="preserve">Tasmanian Subacute/Non-acute Data Set - 2019</w:t>
              </w:r>
            </w:hyperlink>
          </w:p>
          <w:p>
            <w:pPr>
              <w:pStyle w:val="registration-status"/>
              <w:spacing w:before="0" w:after="0"/>
            </w:pPr>
            <w:hyperlink w:history="true" r:id="Raa771cac15b847c5">
              <w:r>
                <w:rPr>
                  <w:rStyle w:val="Hyperlink"/>
                  <w:color w:val="244061"/>
                </w:rPr>
                <w:t xml:space="preserve">Tasmanian Health</w:t>
              </w:r>
            </w:hyperlink>
            <w:r>
              <w:rPr>
                <w:rStyle w:val="row-content"/>
                <w:color w:val="244061"/>
              </w:rPr>
              <w:t xml:space="preserve">, Superseded 06/05/2020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
    <w:p>
      <w:r>
        <w:br/>
      </w:r>
    </w:p>
    <w:sectPr>
      <w:footerReference xmlns:r="http://schemas.openxmlformats.org/officeDocument/2006/relationships" w:type="default" r:id="Rbeb22dd7c8ec45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449150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0d55ba32b849b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b22dd7c8ec4537" /><Relationship Type="http://schemas.openxmlformats.org/officeDocument/2006/relationships/header" Target="/word/header1.xml" Id="R3f10f95af3764acc" /><Relationship Type="http://schemas.openxmlformats.org/officeDocument/2006/relationships/settings" Target="/word/settings.xml" Id="R1ffdb00b0491422a" /><Relationship Type="http://schemas.openxmlformats.org/officeDocument/2006/relationships/styles" Target="/word/styles.xml" Id="Rb5d6efd3cd5d420e" /><Relationship Type="http://schemas.openxmlformats.org/officeDocument/2006/relationships/numbering" Target="/word/numbering.xml" Id="Rc8e94e691a7542fa" /><Relationship Type="http://schemas.openxmlformats.org/officeDocument/2006/relationships/hyperlink" Target="https://meteor-uat.aihw.gov.au/RegistrationAuthority/17" TargetMode="External" Id="R00d95c3072ba41df" /><Relationship Type="http://schemas.openxmlformats.org/officeDocument/2006/relationships/hyperlink" Target="https://meteor-uat.aihw.gov.au/RegistrationAuthority/14" TargetMode="External" Id="R26ce3b6e85a64d55" /><Relationship Type="http://schemas.openxmlformats.org/officeDocument/2006/relationships/hyperlink" Target="https://meteor-uat.aihw.gov.au/content/449145" TargetMode="External" Id="R4f3ce6b970564707" /><Relationship Type="http://schemas.openxmlformats.org/officeDocument/2006/relationships/hyperlink" Target="https://meteor-uat.aihw.gov.au/content/449147" TargetMode="External" Id="R8542f6eaad6d408f" /><Relationship Type="http://schemas.openxmlformats.org/officeDocument/2006/relationships/hyperlink" Target="https://meteor-uat.aihw.gov.au/content/681470" TargetMode="External" Id="Re60166042a514245" /><Relationship Type="http://schemas.openxmlformats.org/officeDocument/2006/relationships/hyperlink" Target="https://meteor-uat.aihw.gov.au/RegistrationAuthority/14" TargetMode="External" Id="Rf8dee1ffce4b4b02" /><Relationship Type="http://schemas.openxmlformats.org/officeDocument/2006/relationships/hyperlink" Target="https://meteor-uat.aihw.gov.au/RegistrationAuthority/17" TargetMode="External" Id="Rfbdd7ce0407f4d44" /><Relationship Type="http://schemas.openxmlformats.org/officeDocument/2006/relationships/hyperlink" Target="https://meteor-uat.aihw.gov.au/content/556874" TargetMode="External" Id="R9c0a61cb087a4116" /><Relationship Type="http://schemas.openxmlformats.org/officeDocument/2006/relationships/hyperlink" Target="https://meteor-uat.aihw.gov.au/RegistrationAuthority/14" TargetMode="External" Id="Rfcb9e3ed05ab4dbe" /><Relationship Type="http://schemas.openxmlformats.org/officeDocument/2006/relationships/hyperlink" Target="https://meteor-uat.aihw.gov.au/content/491557" TargetMode="External" Id="R55a123acf54146f4" /><Relationship Type="http://schemas.openxmlformats.org/officeDocument/2006/relationships/hyperlink" Target="https://meteor-uat.aihw.gov.au/content/471807" TargetMode="External" Id="R5a304c94488746b1" /><Relationship Type="http://schemas.openxmlformats.org/officeDocument/2006/relationships/hyperlink" Target="https://meteor-uat.aihw.gov.au/content/588098" TargetMode="External" Id="R104d5247f61b44d8" /><Relationship Type="http://schemas.openxmlformats.org/officeDocument/2006/relationships/hyperlink" Target="https://meteor-uat.aihw.gov.au/RegistrationAuthority/14" TargetMode="External" Id="R5881cc4f75704ca4" /><Relationship Type="http://schemas.openxmlformats.org/officeDocument/2006/relationships/hyperlink" Target="https://meteor-uat.aihw.gov.au/content/584408" TargetMode="External" Id="R3179c2cfc4024a53" /><Relationship Type="http://schemas.openxmlformats.org/officeDocument/2006/relationships/hyperlink" Target="https://meteor-uat.aihw.gov.au/content/611617" TargetMode="External" Id="Rc52c71d00b9849db" /><Relationship Type="http://schemas.openxmlformats.org/officeDocument/2006/relationships/hyperlink" Target="https://meteor-uat.aihw.gov.au/RegistrationAuthority/14" TargetMode="External" Id="R3060e2130a0f47a3" /><Relationship Type="http://schemas.openxmlformats.org/officeDocument/2006/relationships/hyperlink" Target="https://meteor-uat.aihw.gov.au/content/584408" TargetMode="External" Id="R6bcdd14c8f23429a" /><Relationship Type="http://schemas.openxmlformats.org/officeDocument/2006/relationships/hyperlink" Target="https://meteor-uat.aihw.gov.au/content/639479" TargetMode="External" Id="Rd6fe293915724841" /><Relationship Type="http://schemas.openxmlformats.org/officeDocument/2006/relationships/hyperlink" Target="https://meteor-uat.aihw.gov.au/RegistrationAuthority/14" TargetMode="External" Id="Rcea556942ce14f21" /><Relationship Type="http://schemas.openxmlformats.org/officeDocument/2006/relationships/hyperlink" Target="https://meteor-uat.aihw.gov.au/RegistrationAuthority/6" TargetMode="External" Id="R3e72547fe2dc47bd" /><Relationship Type="http://schemas.openxmlformats.org/officeDocument/2006/relationships/hyperlink" Target="https://meteor-uat.aihw.gov.au/content/584408" TargetMode="External" Id="Rffc915263e5145cc" /><Relationship Type="http://schemas.openxmlformats.org/officeDocument/2006/relationships/hyperlink" Target="https://meteor-uat.aihw.gov.au/content/664907" TargetMode="External" Id="R6062b92e6dcc4de6" /><Relationship Type="http://schemas.openxmlformats.org/officeDocument/2006/relationships/hyperlink" Target="https://meteor-uat.aihw.gov.au/RegistrationAuthority/17" TargetMode="External" Id="R5a798a9cfae64203" /><Relationship Type="http://schemas.openxmlformats.org/officeDocument/2006/relationships/hyperlink" Target="https://meteor-uat.aihw.gov.au/content/690557" TargetMode="External" Id="R75510dc13587476b" /><Relationship Type="http://schemas.openxmlformats.org/officeDocument/2006/relationships/hyperlink" Target="https://meteor-uat.aihw.gov.au/RegistrationAuthority/17" TargetMode="External" Id="Rb2ed319466ba4126" /><Relationship Type="http://schemas.openxmlformats.org/officeDocument/2006/relationships/hyperlink" Target="https://meteor-uat.aihw.gov.au/content/690564" TargetMode="External" Id="Reeea6efb44044ee5" /><Relationship Type="http://schemas.openxmlformats.org/officeDocument/2006/relationships/hyperlink" Target="https://meteor-uat.aihw.gov.au/RegistrationAuthority/17" TargetMode="External" Id="R93c6dade556b4ce0" /><Relationship Type="http://schemas.openxmlformats.org/officeDocument/2006/relationships/hyperlink" Target="https://meteor-uat.aihw.gov.au/content/715184" TargetMode="External" Id="R210bb48089fd420d" /><Relationship Type="http://schemas.openxmlformats.org/officeDocument/2006/relationships/hyperlink" Target="https://meteor-uat.aihw.gov.au/RegistrationAuthority/17" TargetMode="External" Id="Raa771cac15b847c5" /></Relationships>
</file>

<file path=word/_rels/header1.xml.rels>&#65279;<?xml version="1.0" encoding="utf-8"?><Relationships xmlns="http://schemas.openxmlformats.org/package/2006/relationships"><Relationship Type="http://schemas.openxmlformats.org/officeDocument/2006/relationships/image" Target="/media/image.png" Id="Rd60d55ba32b849b7" /></Relationships>
</file>