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29d340aee0443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59: Age-standardised mortality by major cause of death,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59: Age-standardised mortality by major cause of death,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de975e29df421f">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Census and Statistics Act 1905.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w:t>
            </w:r>
          </w:p>
          <w:p>
            <w:pPr/>
            <w:r>
              <w:rPr>
                <w:rStyle w:val="row-content-rich-text"/>
              </w:rPr>
              <w:t xml:space="preserve">Preliminary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five 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Census and Statistics Act (1905).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estimated resident population. Information on how to interpret and use the data appropriately is available from </w:t>
            </w:r>
            <w:hyperlink w:history="true" r:id="R7bb336b9ac5046bd">
              <w:r>
                <w:rPr>
                  <w:rStyle w:val="Hyperlink"/>
                </w:rPr>
                <w:t xml:space="preserve">Explanatory Notes </w:t>
              </w:r>
            </w:hyperlink>
            <w:r>
              <w:rPr>
                <w:rStyle w:val="row-content-rich-text"/>
              </w:rPr>
              <w:t xml:space="preserve">in </w:t>
            </w:r>
            <w:hyperlink w:history="true" r:id="Rd4a68ec2d0fc40d3">
              <w:r>
                <w:rPr>
                  <w:rStyle w:val="Hyperlink"/>
                </w:rPr>
                <w:t xml:space="preserve">Causes of Death, Australia (3303.0)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 sampling 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There are ongoing ABS investigations into the unusual volatility in the number of deaths of Indigenous Australians registered in WA in recent years. Until a better understanding of the nature of this volatility is established, ABS recommends caution when utilising WA’s mortality rates for this indicator.</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data every effort is made to minimise reporting error by the careful design of questionnaires, intensive training and supervision of interviewers, and efficient data processing procedures. The ABS does not have control over any non sampling error associated with births, deaths and migration data.</w:t>
            </w:r>
          </w:p>
          <w:p>
            <w:pPr>
              <w:spacing w:after="160"/>
            </w:pPr>
            <w:r>
              <w:rPr>
                <w:rStyle w:val="row-content-rich-text"/>
              </w:rPr>
              <w:t xml:space="preserve">Another dimension of non-sampling error in ERP is the fact that the measures of components of population growth become more accurate as more time elapses after the reference period. As discussed under Timeliness, the trade-off between timeliness and accuracy means that a user can access more accurate data by using the revised or final ERP data. While the vast majority of births and deaths are registered promptly, a small proportion of registrations are delayed for months or even years. As a result, preliminary quarterly estimates can be an underestimate of the true number of births and deaths occurring in a reference period. Revised figures for a reference period incorporate births and deaths registrations that were received after the preliminary data collection phase as well as the estimated number of registrations that have still not been received for that reference period. For more information see the </w:t>
            </w:r>
            <w:hyperlink w:history="true" r:id="Rf579dd64acec4f34">
              <w:r>
                <w:rPr>
                  <w:rStyle w:val="Hyperlink"/>
                </w:rPr>
                <w:t xml:space="preserve">Demography Working Paper 1998/2 - Quarterly birth and death estimates, 1998 (Cat. no. 3114.0). </w:t>
              </w:r>
            </w:hyperlink>
            <w:r>
              <w:rPr>
                <w:rStyle w:val="row-content-rich-text"/>
              </w:rPr>
              <w:t xml:space="preserve">and </w:t>
            </w:r>
            <w:hyperlink w:history="true" r:id="R9945ff2dc93b4b33">
              <w:r>
                <w:rPr>
                  <w:rStyle w:val="Hyperlink"/>
                </w:rPr>
                <w:t xml:space="preserve">Australian Demographic statistics (Cat. no. 3101.0).</w:t>
              </w:r>
            </w:hyperlink>
          </w:p>
          <w:p>
            <w:pPr>
              <w:spacing w:after="160"/>
            </w:pPr>
            <w:r>
              <w:rPr>
                <w:rStyle w:val="row-content-rich-text"/>
              </w:rPr>
              <w:t xml:space="preserve">Causes of death data for 2007 has been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Causes of death data for 2007 coroner certified deaths were updated as more information became available. Revised data for 2007 has been published in the 2008 Causes of Death publication, released in March 2010. 2007 causes of death will be revised and published again in the publication relating to the 2009 collection due for release in 2011. At this time the first round of revisions for 2008 causes of death data will also be published. Revisions will only impact on coroner certified deaths, as further information becomes available to the ABS about the causes of these deaths. See </w:t>
            </w:r>
            <w:hyperlink w:history="true" r:id="R49871409b95f433f">
              <w:r>
                <w:rPr>
                  <w:rStyle w:val="Hyperlink"/>
                </w:rPr>
                <w:t xml:space="preserve">Causes of Death, Australia, 3303.0</w:t>
              </w:r>
            </w:hyperlink>
            <w:r>
              <w:rPr>
                <w:rStyle w:val="row-content-rich-text"/>
              </w:rPr>
              <w:t xml:space="preserve">.</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edb257be384eeb">
              <w:r>
                <w:rPr>
                  <w:rStyle w:val="Hyperlink"/>
                </w:rPr>
                <w:t xml:space="preserve">National Healthcare Agreement: P59-Age-standardisded mortality by major cause of death, 2010 QS</w:t>
              </w:r>
            </w:hyperlink>
          </w:p>
          <w:p>
            <w:pPr>
              <w:pStyle w:val="registration-status"/>
              <w:spacing w:before="0" w:after="0"/>
            </w:pPr>
            <w:hyperlink w:history="true" r:id="R75576e06243e40a8">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abdf07eb9544497">
              <w:r>
                <w:rPr>
                  <w:rStyle w:val="Hyperlink"/>
                </w:rPr>
                <w:t xml:space="preserve">National Healthcare Agreement: PI 59-Age-standardised mortality by major cause of death, 2012 QS</w:t>
              </w:r>
            </w:hyperlink>
          </w:p>
          <w:p>
            <w:pPr>
              <w:pStyle w:val="registration-status"/>
              <w:spacing w:before="0" w:after="0"/>
            </w:pPr>
            <w:hyperlink w:history="true" r:id="R521fbeeb7db64aa9">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ea5f0f074fd444c">
              <w:r>
                <w:rPr>
                  <w:rStyle w:val="Hyperlink"/>
                </w:rPr>
                <w:t xml:space="preserve">National Healthcare Agreement: PI 59-Age-standardised mortality by major cause of death, 2011</w:t>
              </w:r>
            </w:hyperlink>
          </w:p>
          <w:p>
            <w:pPr>
              <w:pStyle w:val="registration-status"/>
              <w:spacing w:before="0" w:after="0"/>
            </w:pPr>
            <w:hyperlink w:history="true" r:id="R2ec0501ebb2e4fec">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f8df2f9999b41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ec8a662d448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8df2f9999b4144" /><Relationship Type="http://schemas.openxmlformats.org/officeDocument/2006/relationships/header" Target="/word/header1.xml" Id="R0f5fc9f449834263" /><Relationship Type="http://schemas.openxmlformats.org/officeDocument/2006/relationships/settings" Target="/word/settings.xml" Id="Rfe2b81aa96a349af" /><Relationship Type="http://schemas.openxmlformats.org/officeDocument/2006/relationships/styles" Target="/word/styles.xml" Id="Rb4d353c78a67404a" /><Relationship Type="http://schemas.openxmlformats.org/officeDocument/2006/relationships/hyperlink" Target="https://meteor-uat.aihw.gov.au/RegistrationAuthority/14" TargetMode="External" Id="R8bde975e29df421f" /><Relationship Type="http://schemas.openxmlformats.org/officeDocument/2006/relationships/hyperlink" Target="http://www.abs.gov.au/ausstats/abs@.nsf/mf/3303.0" TargetMode="External" Id="R7bb336b9ac5046bd" /><Relationship Type="http://schemas.openxmlformats.org/officeDocument/2006/relationships/hyperlink" Target="http://www.abs.gov.au/ausstats/abs@.nsf/mf/3303.0" TargetMode="External" Id="Rd4a68ec2d0fc40d3" /><Relationship Type="http://schemas.openxmlformats.org/officeDocument/2006/relationships/hyperlink" Target="http://www.abs.gov.au/AUSSTATS/abs@.nsf/ProductsbyCatalogue/B5BE54544A5DAFEFCA257061001F4540?OpenDocument" TargetMode="External" Id="Rf579dd64acec4f34" /><Relationship Type="http://schemas.openxmlformats.org/officeDocument/2006/relationships/hyperlink" Target="http://www.abs.gov.au/ausstats/abs@.nsf/mf/3101.0" TargetMode="External" Id="R9945ff2dc93b4b33" /><Relationship Type="http://schemas.openxmlformats.org/officeDocument/2006/relationships/hyperlink" Target="http://www.abs.gov.au/ausstats/abs@.nsf/mf/3303.0" TargetMode="External" Id="R49871409b95f433f" /><Relationship Type="http://schemas.openxmlformats.org/officeDocument/2006/relationships/hyperlink" Target="https://meteor-uat.aihw.gov.au/content/407952" TargetMode="External" Id="Rb6edb257be384eeb" /><Relationship Type="http://schemas.openxmlformats.org/officeDocument/2006/relationships/hyperlink" Target="https://meteor-uat.aihw.gov.au/RegistrationAuthority/14" TargetMode="External" Id="R75576e06243e40a8" /><Relationship Type="http://schemas.openxmlformats.org/officeDocument/2006/relationships/hyperlink" Target="https://meteor-uat.aihw.gov.au/content/500078" TargetMode="External" Id="Rcabdf07eb9544497" /><Relationship Type="http://schemas.openxmlformats.org/officeDocument/2006/relationships/hyperlink" Target="https://meteor-uat.aihw.gov.au/RegistrationAuthority/14" TargetMode="External" Id="R521fbeeb7db64aa9" /><Relationship Type="http://schemas.openxmlformats.org/officeDocument/2006/relationships/hyperlink" Target="https://meteor-uat.aihw.gov.au/content/421594" TargetMode="External" Id="R9ea5f0f074fd444c" /><Relationship Type="http://schemas.openxmlformats.org/officeDocument/2006/relationships/hyperlink" Target="https://meteor-uat.aihw.gov.au/RegistrationAuthority/14" TargetMode="External" Id="R2ec0501ebb2e4fec" /></Relationships>
</file>

<file path=word/_rels/header1.xml.rels>&#65279;<?xml version="1.0" encoding="utf-8"?><Relationships xmlns="http://schemas.openxmlformats.org/package/2006/relationships"><Relationship Type="http://schemas.openxmlformats.org/officeDocument/2006/relationships/image" Target="/media/image.png" Id="R068ec8a662d448f4" /></Relationships>
</file>