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bdeba5b2d455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mode,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mode,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mode (Tasmanian)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740da85814cfe">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separation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e8402a79104099">
              <w:r>
                <w:rPr>
                  <w:rStyle w:val="Hyperlink"/>
                </w:rPr>
                <w:t xml:space="preserve">Episode of admitted patient care—separation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90cb87fdb74658">
              <w:r>
                <w:rPr>
                  <w:rStyle w:val="Hyperlink"/>
                </w:rPr>
                <w:t xml:space="preserve">Tasmanian separation mode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Drug and alcohol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Aged care 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w:t>
            </w:r>
          </w:p>
        </w:tc>
        <w:tc>
          <w:tcPr>
            <w:tcBorders>
              <w:top w:val="none" w:color="000000" w:sz="0"/>
              <w:left w:val="none" w:color="000000" w:sz="0"/>
              <w:bottom w:val="none" w:color="000000" w:sz="0"/>
              <w:right w:val="none" w:color="000000" w:sz="0"/>
            </w:tcBorders>
            <w:vAlign w:val="top"/>
          </w:tcPr>
          <w:p>
            <w:r>
              <w:t xml:space="preserve">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New episode for 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PRH</w:t>
            </w:r>
          </w:p>
        </w:tc>
        <w:tc>
          <w:tcPr>
            <w:tcBorders>
              <w:top w:val="none" w:color="000000" w:sz="0"/>
              <w:left w:val="none" w:color="000000" w:sz="0"/>
              <w:bottom w:val="none" w:color="000000" w:sz="0"/>
              <w:right w:val="none" w:color="000000" w:sz="0"/>
            </w:tcBorders>
            <w:vAlign w:val="top"/>
          </w:tcPr>
          <w:p>
            <w:r>
              <w:t xml:space="preserve">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w:t>
            </w:r>
          </w:p>
        </w:tc>
        <w:tc>
          <w:tcPr>
            <w:tcBorders>
              <w:top w:val="none" w:color="000000" w:sz="0"/>
              <w:left w:val="none" w:color="000000" w:sz="0"/>
              <w:bottom w:val="none" w:color="000000" w:sz="0"/>
              <w:right w:val="none" w:color="000000" w:sz="0"/>
            </w:tcBorders>
            <w:vAlign w:val="top"/>
          </w:tcPr>
          <w:p>
            <w:r>
              <w:t xml:space="preserve">Rural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Via discharge lounge - 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p>
        </w:tc>
        <w:tc>
          <w:tcPr>
            <w:tcBorders>
              <w:top w:val="none" w:color="000000" w:sz="0"/>
              <w:left w:val="none" w:color="000000" w:sz="0"/>
              <w:bottom w:val="none" w:color="000000" w:sz="0"/>
              <w:right w:val="none" w:color="000000" w:sz="0"/>
            </w:tcBorders>
            <w:vAlign w:val="top"/>
          </w:tcPr>
          <w:p>
            <w:r>
              <w:t xml:space="preserve">Left against medical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4     Died</w:t>
            </w:r>
          </w:p>
          <w:p>
            <w:pPr>
              <w:spacing w:after="160"/>
            </w:pPr>
            <w:r>
              <w:rPr>
                <w:rStyle w:val="row-content-rich-text"/>
              </w:rPr>
              <w:t xml:space="preserve">Use for patients who died during this admission.</w:t>
            </w:r>
          </w:p>
          <w:p>
            <w:pPr>
              <w:spacing w:after="160"/>
            </w:pPr>
            <w:r>
              <w:rPr>
                <w:rStyle w:val="row-content-rich-text"/>
                <w:b/>
              </w:rPr>
              <w:t xml:space="preserve">CODE A    Mental health service</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D     Drug and alcohol treatment service</w:t>
            </w:r>
          </w:p>
          <w:p>
            <w:pPr>
              <w:spacing w:after="160"/>
            </w:pPr>
            <w:r>
              <w:rPr>
                <w:rStyle w:val="row-content-rich-text"/>
              </w:rPr>
              <w:t xml:space="preserve">Use for patients who are being discharged to a designated drug and alcohol facility/unit.</w:t>
            </w:r>
          </w:p>
          <w:p>
            <w:pPr>
              <w:spacing w:after="160"/>
            </w:pPr>
            <w:r>
              <w:rPr>
                <w:rStyle w:val="row-content-rich-text"/>
                <w:b/>
              </w:rPr>
              <w:t xml:space="preserve">CODE H     Usual residence/accommodation</w:t>
            </w:r>
          </w:p>
          <w:p>
            <w:pPr>
              <w:spacing w:after="160"/>
            </w:pPr>
            <w:r>
              <w:rPr>
                <w:rStyle w:val="row-content-rich-text"/>
              </w:rPr>
              <w:t xml:space="preserve">Use for patients who are discharged to their usual place of residence. Includes patients returning to nursing homes/hostels, boarding houses, independent living units or other institutions from which they came if it's their usual residence/accommodation. However, if the patient is being transferred from the hospital to a residential aged care service for the first time, do not use this category, use 'Aged care residential facility'.</w:t>
            </w:r>
          </w:p>
          <w:p>
            <w:pPr>
              <w:spacing w:after="160"/>
            </w:pPr>
            <w:r>
              <w:rPr>
                <w:rStyle w:val="row-content-rich-text"/>
              </w:rPr>
              <w:t xml:space="preserve">Excludes patients who are discharged/transferred to a discharge lounge (use code V – Via discharge lounge – usual residence/accommodation in this case). </w:t>
            </w:r>
          </w:p>
          <w:p>
            <w:pPr>
              <w:spacing w:after="160"/>
            </w:pPr>
            <w:r>
              <w:rPr>
                <w:rStyle w:val="row-content-rich-text"/>
                <w:b/>
              </w:rPr>
              <w:t xml:space="preserve">CODE N     Aged care residential facility</w:t>
            </w:r>
          </w:p>
          <w:p>
            <w:pPr>
              <w:spacing w:after="160"/>
            </w:pPr>
            <w:r>
              <w:rPr>
                <w:rStyle w:val="row-content-rich-text"/>
              </w:rPr>
              <w:t xml:space="preserve">Use for patients who have discharged to an aged care residential facility such as a nursing home/hostel for the first time.</w:t>
            </w:r>
          </w:p>
          <w:p>
            <w:pPr>
              <w:spacing w:after="160"/>
            </w:pPr>
            <w:r>
              <w:rPr>
                <w:rStyle w:val="row-content-rich-text"/>
              </w:rPr>
              <w:t xml:space="preserve">Excludes patients who were a resident of the same aged care residential facility prior to this admission (use code H – Usual residence/accommodation in this case) as well as patients discharged/transferred to a discharge lounge before return to the same aged care residential facility (use code V – Via discharge lounge – usual residence/accommodation in this case).</w:t>
            </w:r>
          </w:p>
          <w:p>
            <w:pPr>
              <w:spacing w:after="160"/>
            </w:pPr>
            <w:r>
              <w:rPr>
                <w:rStyle w:val="row-content-rich-text"/>
                <w:b/>
              </w:rPr>
              <w:t xml:space="preserve">CODE O    Other</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OH     Other health care accommodation</w:t>
            </w:r>
          </w:p>
          <w:p>
            <w:pPr>
              <w:spacing w:after="160"/>
            </w:pPr>
            <w:r>
              <w:rPr>
                <w:rStyle w:val="row-content-rich-text"/>
              </w:rPr>
              <w:t xml:space="preserve">Use for patients who are transferred to a health care accommodation/facility not covered by any other category and is not their usual residence/accommodation.</w:t>
            </w:r>
          </w:p>
          <w:p>
            <w:pPr>
              <w:spacing w:after="160"/>
            </w:pPr>
            <w:r>
              <w:rPr>
                <w:rStyle w:val="row-content-rich-text"/>
                <w:b/>
              </w:rPr>
              <w:t xml:space="preserve">CODE OP     New episode for organ procurement</w:t>
            </w:r>
          </w:p>
          <w:p>
            <w:pPr>
              <w:spacing w:after="160"/>
            </w:pPr>
            <w:r>
              <w:rPr>
                <w:rStyle w:val="row-content-rich-text"/>
              </w:rPr>
              <w:t xml:space="preserve">Use for patients who have been declared brain dead, and are undergoing an episode of care change to organ procurement – posthumous.</w:t>
            </w:r>
          </w:p>
          <w:p>
            <w:pPr>
              <w:spacing w:after="160"/>
            </w:pPr>
            <w:r>
              <w:rPr>
                <w:rStyle w:val="row-content-rich-text"/>
                <w:b/>
              </w:rPr>
              <w:t xml:space="preserve">CODE PH     Public hospital</w:t>
            </w:r>
          </w:p>
          <w:p>
            <w:pPr>
              <w:spacing w:after="160"/>
            </w:pPr>
            <w:r>
              <w:rPr>
                <w:rStyle w:val="row-content-rich-text"/>
              </w:rPr>
              <w:t xml:space="preserve">Use for patients who are being transferred to an acute public hospital (e.g. RHH, LGH, NWRH, MCH or an interstate/overseas public hospital – do NOT use for private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'Public hospital' value is linked to the 'Health Organisation' data element/field and a selection must be made from it.</w:t>
            </w:r>
          </w:p>
          <w:p>
            <w:pPr>
              <w:spacing w:after="160"/>
            </w:pPr>
            <w:r>
              <w:rPr>
                <w:rStyle w:val="row-content-rich-text"/>
                <w:b/>
              </w:rPr>
              <w:t xml:space="preserve">CODE PRH     Private hospital</w:t>
            </w:r>
          </w:p>
          <w:p>
            <w:pPr>
              <w:spacing w:after="160"/>
            </w:pPr>
            <w:r>
              <w:rPr>
                <w:rStyle w:val="row-content-rich-text"/>
              </w:rPr>
              <w:t xml:space="preserve">Use for patients who are being transferred to an acute private hospital (e.g. Calvary South/North, Hobart Private, North West Private etc or an Interstate/Overseas private hospital – do NOT use for major acute public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'Private hospital' value is linked to the 'Health Organisation' data element/field and a selection must be made from it.</w:t>
            </w:r>
          </w:p>
          <w:p>
            <w:pPr>
              <w:spacing w:after="160"/>
            </w:pPr>
            <w:r>
              <w:rPr>
                <w:rStyle w:val="row-content-rich-text"/>
                <w:b/>
              </w:rPr>
              <w:t xml:space="preserve">CODE RH     Rural hospital</w:t>
            </w:r>
          </w:p>
          <w:p>
            <w:pPr>
              <w:spacing w:after="160"/>
            </w:pPr>
            <w:r>
              <w:rPr>
                <w:rStyle w:val="row-content-rich-text"/>
              </w:rPr>
              <w:t xml:space="preserve">Use for patients who are being transferred from this hospital to a rural/district hospital (e.g. Beaconsfield, Campbell Town, New Norfolk, Smithton etc – do NOT use for major acute public/private hospitals or interstate/overseas public/private hospitals) for continuation of their admitted care or management. The second hospital undertakes full responsibility for the patient. The patient must leave directly from this hospital to the other rural/district hospital (i.e. does not go home first).</w:t>
            </w:r>
          </w:p>
          <w:p>
            <w:pPr>
              <w:spacing w:after="160"/>
            </w:pPr>
            <w:r>
              <w:rPr>
                <w:rStyle w:val="row-content-rich-text"/>
              </w:rPr>
              <w:t xml:space="preserve">'Rural Hospital' value is linked to the 'Health Organisation' data element/field and a selection must be made from it.</w:t>
            </w:r>
          </w:p>
          <w:p>
            <w:pPr>
              <w:spacing w:after="160"/>
            </w:pPr>
            <w:r>
              <w:rPr>
                <w:rStyle w:val="row-content-rich-text"/>
                <w:b/>
              </w:rPr>
              <w:t xml:space="preserve">CODE S     Statistical separation</w:t>
            </w:r>
          </w:p>
          <w:p>
            <w:pPr>
              <w:spacing w:after="160"/>
            </w:pPr>
            <w:r>
              <w:rPr>
                <w:rStyle w:val="row-content-rich-text"/>
              </w:rPr>
              <w:t xml:space="preserve">Used for statistical separations (care type change) where the patient is to continue the hospital stay, but is now changing the type of episode of care (e.g. acute to rehabilitation). Do not use this value for registered boarders changing status to become an admitted patient.</w:t>
            </w:r>
          </w:p>
          <w:p>
            <w:pPr>
              <w:spacing w:after="160"/>
            </w:pPr>
            <w:r>
              <w:rPr>
                <w:rStyle w:val="row-content-rich-text"/>
                <w:b/>
              </w:rPr>
              <w:t xml:space="preserve">CODE SD     Discharged to leave</w:t>
            </w:r>
          </w:p>
          <w:p>
            <w:pPr>
              <w:spacing w:after="160"/>
            </w:pPr>
            <w:r>
              <w:rPr>
                <w:rStyle w:val="row-content-rich-text"/>
              </w:rPr>
              <w:t xml:space="preserve">Use for patients who are being discharged on leave, and for whom a readmission following leave has been planned.</w:t>
            </w:r>
          </w:p>
          <w:p>
            <w:pPr>
              <w:spacing w:after="160"/>
            </w:pPr>
            <w:r>
              <w:rPr>
                <w:rStyle w:val="row-content-rich-text"/>
                <w:b/>
              </w:rPr>
              <w:t xml:space="preserve">CODE Z     Left against medical advice</w:t>
            </w:r>
          </w:p>
          <w:p>
            <w:pPr>
              <w:spacing w:after="160"/>
            </w:pPr>
            <w:r>
              <w:rPr>
                <w:rStyle w:val="row-content-rich-text"/>
              </w:rPr>
              <w:t xml:space="preserve">Use for patients who have discharged themselves against their doctor’s advice.</w:t>
            </w:r>
          </w:p>
          <w:p>
            <w:pPr>
              <w:spacing w:after="160"/>
            </w:pPr>
            <w:r>
              <w:rPr>
                <w:rStyle w:val="row-content-rich-text"/>
                <w:b/>
              </w:rPr>
              <w:t xml:space="preserve">CODE V     Via discharge lounge – usual residence/accommodation</w:t>
            </w:r>
          </w:p>
          <w:p>
            <w:pPr/>
            <w:r>
              <w:rPr>
                <w:rStyle w:val="row-content-rich-text"/>
              </w:rPr>
              <w:t xml:space="preserve">Use for patients who are discharged/transferred to a discharge lounge before returning to their usual place of residence. Includes patients returning to nursing homes/hostels, boarding houses, independent living units or other institutions from which they came if they are the patient’s usual residence/accommodation.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5836cacaec54ec1">
              <w:r>
                <w:rPr>
                  <w:rStyle w:val="Hyperlink"/>
                </w:rPr>
                <w:t xml:space="preserve">Episode of admitted patient care—diagnosis related group, code (AR-DRG v 10.0) ANNA</w:t>
              </w:r>
            </w:hyperlink>
          </w:p>
          <w:p>
            <w:pPr>
              <w:pStyle w:val="registration-status"/>
              <w:spacing w:before="0" w:after="0"/>
            </w:pPr>
            <w:hyperlink w:history="true" r:id="Ra4bd4b5855d9487e">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efac6791ba2e48e4">
              <w:r>
                <w:rPr>
                  <w:rStyle w:val="Hyperlink"/>
                </w:rPr>
                <w:t xml:space="preserve">Episode of admitted patient care—diagnosis related group, code (AR-DRG v 6.0x) ANNA</w:t>
              </w:r>
            </w:hyperlink>
          </w:p>
          <w:p>
            <w:pPr>
              <w:pStyle w:val="registration-status"/>
              <w:spacing w:before="0" w:after="0"/>
            </w:pPr>
            <w:hyperlink w:history="true" r:id="R01dff3e25f6045a6">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d876631cd9d344ad">
              <w:r>
                <w:rPr>
                  <w:rStyle w:val="Hyperlink"/>
                </w:rPr>
                <w:t xml:space="preserve">Episode of admitted patient care—diagnosis related group, code (AR-DRG v 7.0) ANNA</w:t>
              </w:r>
            </w:hyperlink>
          </w:p>
          <w:p>
            <w:pPr>
              <w:pStyle w:val="registration-status"/>
              <w:spacing w:before="0" w:after="0"/>
            </w:pPr>
            <w:hyperlink w:history="true" r:id="Rda3b45fc3ea143a2">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fa92776406f8439b">
              <w:r>
                <w:rPr>
                  <w:rStyle w:val="Hyperlink"/>
                </w:rPr>
                <w:t xml:space="preserve">Episode of admitted patient care—diagnosis related group, code (AR-DRG v 7.0) ANNA</w:t>
              </w:r>
            </w:hyperlink>
          </w:p>
          <w:p>
            <w:pPr>
              <w:pStyle w:val="registration-status"/>
              <w:spacing w:before="0" w:after="0"/>
            </w:pPr>
            <w:hyperlink w:history="true" r:id="R78f2a2c8b7df430c">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3924b4a3615f489b">
              <w:r>
                <w:rPr>
                  <w:rStyle w:val="Hyperlink"/>
                </w:rPr>
                <w:t xml:space="preserve">Episode of admitted patient care—diagnosis related group, code (AR-DRG v 8.0) ANNA</w:t>
              </w:r>
            </w:hyperlink>
          </w:p>
          <w:p>
            <w:pPr>
              <w:pStyle w:val="registration-status"/>
              <w:spacing w:before="0" w:after="0"/>
            </w:pPr>
            <w:hyperlink w:history="true" r:id="Rcf4bf02f3e8744bd">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30d00b99aa5e4ed6">
              <w:r>
                <w:rPr>
                  <w:rStyle w:val="Hyperlink"/>
                </w:rPr>
                <w:t xml:space="preserve">Episode of admitted patient care—diagnosis related group, code (AR-DRG v 9.0) ANNA</w:t>
              </w:r>
            </w:hyperlink>
          </w:p>
          <w:p>
            <w:pPr>
              <w:pStyle w:val="registration-status"/>
              <w:spacing w:before="0" w:after="0"/>
            </w:pPr>
            <w:hyperlink w:history="true" r:id="R5ab3d07f1c684edf">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2a3e1531334fae">
              <w:r>
                <w:rPr>
                  <w:rStyle w:val="Hyperlink"/>
                </w:rPr>
                <w:t xml:space="preserve">Admitted patient care separation (discharge) related data elements (TDLU) cluster</w:t>
              </w:r>
            </w:hyperlink>
          </w:p>
          <w:p>
            <w:pPr>
              <w:pStyle w:val="registration-status"/>
              <w:spacing w:before="0" w:after="0"/>
            </w:pPr>
            <w:hyperlink w:history="true" r:id="R705117b6065c4d04">
              <w:r>
                <w:rPr>
                  <w:rStyle w:val="Hyperlink"/>
                  <w:color w:val="244061"/>
                </w:rPr>
                <w:t xml:space="preserve">Tasmanian Health</w:t>
              </w:r>
            </w:hyperlink>
            <w:r>
              <w:rPr>
                <w:rStyle w:val="row-content"/>
                <w:color w:val="244061"/>
              </w:rPr>
              <w:t xml:space="preserve">, Standard 18/05/2021</w:t>
            </w:r>
          </w:p>
          <w:p>
            <w:r>
              <w:br/>
            </w:r>
            <w:hyperlink w:history="true" r:id="R09108fc658b544a9">
              <w:r>
                <w:rPr>
                  <w:rStyle w:val="Hyperlink"/>
                </w:rPr>
                <w:t xml:space="preserve">Tasmanian Admitted Patient Data Set - 2016</w:t>
              </w:r>
            </w:hyperlink>
          </w:p>
          <w:p>
            <w:pPr>
              <w:pStyle w:val="registration-status"/>
              <w:spacing w:before="0" w:after="0"/>
            </w:pPr>
            <w:hyperlink w:history="true" r:id="R208a21d6da76432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051275323944814">
              <w:r>
                <w:rPr>
                  <w:rStyle w:val="Hyperlink"/>
                </w:rPr>
                <w:t xml:space="preserve">Tasmanian Admitted Patient Data Set - 2017</w:t>
              </w:r>
            </w:hyperlink>
          </w:p>
          <w:p>
            <w:pPr>
              <w:pStyle w:val="registration-status"/>
              <w:spacing w:before="0" w:after="0"/>
            </w:pPr>
            <w:hyperlink w:history="true" r:id="R60e95b88acd1412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edbbf88d14f4fad">
              <w:r>
                <w:rPr>
                  <w:rStyle w:val="Hyperlink"/>
                </w:rPr>
                <w:t xml:space="preserve">Tasmanian Admitted Patient Data Set - 2018</w:t>
              </w:r>
            </w:hyperlink>
          </w:p>
          <w:p>
            <w:pPr>
              <w:pStyle w:val="registration-status"/>
              <w:spacing w:before="0" w:after="0"/>
            </w:pPr>
            <w:hyperlink w:history="true" r:id="R9fe61b6a277e4134">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1aab9ddea814e90">
              <w:r>
                <w:rPr>
                  <w:rStyle w:val="Hyperlink"/>
                </w:rPr>
                <w:t xml:space="preserve">Tasmanian Admitted Patient Data Set - 2019</w:t>
              </w:r>
            </w:hyperlink>
          </w:p>
          <w:p>
            <w:pPr>
              <w:pStyle w:val="registration-status"/>
              <w:spacing w:before="0" w:after="0"/>
            </w:pPr>
            <w:hyperlink w:history="true" r:id="R1302a4c03aa94de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69b1bd5fe42418a">
              <w:r>
                <w:rPr>
                  <w:rStyle w:val="Hyperlink"/>
                </w:rPr>
                <w:t xml:space="preserve">Tasmanian Admitted Patient Data Set - 2020</w:t>
              </w:r>
            </w:hyperlink>
          </w:p>
          <w:p>
            <w:pPr>
              <w:pStyle w:val="registration-status"/>
              <w:spacing w:before="0" w:after="0"/>
            </w:pPr>
            <w:hyperlink w:history="true" r:id="R981b8af67b9a479b">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c6ecfc78f1c5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0ef7a169a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cfc78f1c5452d" /><Relationship Type="http://schemas.openxmlformats.org/officeDocument/2006/relationships/header" Target="/word/header1.xml" Id="Re2a73b822fbd4653" /><Relationship Type="http://schemas.openxmlformats.org/officeDocument/2006/relationships/settings" Target="/word/settings.xml" Id="R3ad1cc0d854d424d" /><Relationship Type="http://schemas.openxmlformats.org/officeDocument/2006/relationships/styles" Target="/word/styles.xml" Id="R18e44acd2a154f64" /><Relationship Type="http://schemas.openxmlformats.org/officeDocument/2006/relationships/hyperlink" Target="https://meteor-uat.aihw.gov.au/RegistrationAuthority/17" TargetMode="External" Id="Rb3c740da85814cfe" /><Relationship Type="http://schemas.openxmlformats.org/officeDocument/2006/relationships/hyperlink" Target="https://meteor-uat.aihw.gov.au/content/269562" TargetMode="External" Id="Ra5e8402a79104099" /><Relationship Type="http://schemas.openxmlformats.org/officeDocument/2006/relationships/hyperlink" Target="https://meteor-uat.aihw.gov.au/content/441659" TargetMode="External" Id="R5490cb87fdb74658" /><Relationship Type="http://schemas.openxmlformats.org/officeDocument/2006/relationships/hyperlink" Target="https://meteor-uat.aihw.gov.au/content/729933" TargetMode="External" Id="R25836cacaec54ec1" /><Relationship Type="http://schemas.openxmlformats.org/officeDocument/2006/relationships/hyperlink" Target="https://meteor-uat.aihw.gov.au/RegistrationAuthority/17" TargetMode="External" Id="Ra4bd4b5855d9487e" /><Relationship Type="http://schemas.openxmlformats.org/officeDocument/2006/relationships/hyperlink" Target="https://meteor-uat.aihw.gov.au/content/481958" TargetMode="External" Id="Refac6791ba2e48e4" /><Relationship Type="http://schemas.openxmlformats.org/officeDocument/2006/relationships/hyperlink" Target="https://meteor-uat.aihw.gov.au/RegistrationAuthority/17" TargetMode="External" Id="R01dff3e25f6045a6" /><Relationship Type="http://schemas.openxmlformats.org/officeDocument/2006/relationships/hyperlink" Target="https://meteor-uat.aihw.gov.au/content/652964" TargetMode="External" Id="Rd876631cd9d344ad" /><Relationship Type="http://schemas.openxmlformats.org/officeDocument/2006/relationships/hyperlink" Target="https://meteor-uat.aihw.gov.au/RegistrationAuthority/17" TargetMode="External" Id="Rda3b45fc3ea143a2" /><Relationship Type="http://schemas.openxmlformats.org/officeDocument/2006/relationships/hyperlink" Target="https://meteor-uat.aihw.gov.au/content/653016" TargetMode="External" Id="Rfa92776406f8439b" /><Relationship Type="http://schemas.openxmlformats.org/officeDocument/2006/relationships/hyperlink" Target="https://meteor-uat.aihw.gov.au/RegistrationAuthority/17" TargetMode="External" Id="R78f2a2c8b7df430c" /><Relationship Type="http://schemas.openxmlformats.org/officeDocument/2006/relationships/hyperlink" Target="https://meteor-uat.aihw.gov.au/content/653051" TargetMode="External" Id="R3924b4a3615f489b" /><Relationship Type="http://schemas.openxmlformats.org/officeDocument/2006/relationships/hyperlink" Target="https://meteor-uat.aihw.gov.au/RegistrationAuthority/17" TargetMode="External" Id="Rcf4bf02f3e8744bd" /><Relationship Type="http://schemas.openxmlformats.org/officeDocument/2006/relationships/hyperlink" Target="https://meteor-uat.aihw.gov.au/content/689947" TargetMode="External" Id="R30d00b99aa5e4ed6" /><Relationship Type="http://schemas.openxmlformats.org/officeDocument/2006/relationships/hyperlink" Target="https://meteor-uat.aihw.gov.au/RegistrationAuthority/17" TargetMode="External" Id="R5ab3d07f1c684edf" /><Relationship Type="http://schemas.openxmlformats.org/officeDocument/2006/relationships/hyperlink" Target="https://meteor-uat.aihw.gov.au/content/743876" TargetMode="External" Id="R892a3e1531334fae" /><Relationship Type="http://schemas.openxmlformats.org/officeDocument/2006/relationships/hyperlink" Target="https://meteor-uat.aihw.gov.au/RegistrationAuthority/17" TargetMode="External" Id="R705117b6065c4d04" /><Relationship Type="http://schemas.openxmlformats.org/officeDocument/2006/relationships/hyperlink" Target="https://meteor-uat.aihw.gov.au/content/662710" TargetMode="External" Id="R09108fc658b544a9" /><Relationship Type="http://schemas.openxmlformats.org/officeDocument/2006/relationships/hyperlink" Target="https://meteor-uat.aihw.gov.au/RegistrationAuthority/17" TargetMode="External" Id="R208a21d6da764320" /><Relationship Type="http://schemas.openxmlformats.org/officeDocument/2006/relationships/hyperlink" Target="https://meteor-uat.aihw.gov.au/content/667734" TargetMode="External" Id="Rc051275323944814" /><Relationship Type="http://schemas.openxmlformats.org/officeDocument/2006/relationships/hyperlink" Target="https://meteor-uat.aihw.gov.au/RegistrationAuthority/17" TargetMode="External" Id="R60e95b88acd14121" /><Relationship Type="http://schemas.openxmlformats.org/officeDocument/2006/relationships/hyperlink" Target="https://meteor-uat.aihw.gov.au/content/689879" TargetMode="External" Id="Rfedbbf88d14f4fad" /><Relationship Type="http://schemas.openxmlformats.org/officeDocument/2006/relationships/hyperlink" Target="https://meteor-uat.aihw.gov.au/RegistrationAuthority/17" TargetMode="External" Id="R9fe61b6a277e4134" /><Relationship Type="http://schemas.openxmlformats.org/officeDocument/2006/relationships/hyperlink" Target="https://meteor-uat.aihw.gov.au/content/715026" TargetMode="External" Id="Rc1aab9ddea814e90" /><Relationship Type="http://schemas.openxmlformats.org/officeDocument/2006/relationships/hyperlink" Target="https://meteor-uat.aihw.gov.au/RegistrationAuthority/17" TargetMode="External" Id="R1302a4c03aa94def" /><Relationship Type="http://schemas.openxmlformats.org/officeDocument/2006/relationships/hyperlink" Target="https://meteor-uat.aihw.gov.au/content/729751" TargetMode="External" Id="Rf69b1bd5fe42418a" /><Relationship Type="http://schemas.openxmlformats.org/officeDocument/2006/relationships/hyperlink" Target="https://meteor-uat.aihw.gov.au/RegistrationAuthority/17" TargetMode="External" Id="R981b8af67b9a479b" /></Relationships>
</file>

<file path=word/_rels/header1.xml.rels>&#65279;<?xml version="1.0" encoding="utf-8"?><Relationships xmlns="http://schemas.openxmlformats.org/package/2006/relationships"><Relationship Type="http://schemas.openxmlformats.org/officeDocument/2006/relationships/image" Target="/media/image.png" Id="Rfef0ef7a169a4bb3" /></Relationships>
</file>