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2555382613f4390"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21a-Employment to population ratio, for the working age population (15-64 years) (Census Data), 2012</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21a-Employment to population ratio, for the working age population (15-64 years) (Census Data),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21a-Employment to population ratio, for the working age population (15-64 years) (Census Data),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438695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e8ae6ab469b4c69">
              <w:r>
                <w:rPr>
                  <w:rStyle w:val="Hyperlink"/>
                  <w:color w:val="244061"/>
                </w:rPr>
                <w:t xml:space="preserve">Indigenous</w:t>
              </w:r>
            </w:hyperlink>
            <w:r>
              <w:rPr>
                <w:rStyle w:val="row-content"/>
                <w:color w:val="244061"/>
              </w:rPr>
              <w:t xml:space="preserve">, Superseded 13/06/2013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the working aged population employed.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Participation in employment has important consequences for living standards, social and emotional wellbeing and participation in the community. This is a key measure of the target to halve the gap in employment outcomes between Indigenous and non-Indigenous Australians within a decade.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4338d6f9f464eba">
              <w:r>
                <w:rPr>
                  <w:rStyle w:val="Hyperlink"/>
                </w:rPr>
                <w:t xml:space="preserve">National Indigenous Reform Agreement (2012)</w:t>
              </w:r>
            </w:hyperlink>
          </w:p>
          <w:p>
            <w:pPr>
              <w:pStyle w:val="registration-status"/>
              <w:spacing w:before="0" w:after="0"/>
            </w:pPr>
            <w:hyperlink w:history="true" r:id="Rd01da1bb9ff74592">
              <w:r>
                <w:rPr>
                  <w:rStyle w:val="Hyperlink"/>
                  <w:color w:val="244061"/>
                </w:rPr>
                <w:t xml:space="preserve">Indigenous</w:t>
              </w:r>
            </w:hyperlink>
            <w:r>
              <w:rPr>
                <w:rStyle w:val="row-content"/>
                <w:color w:val="244061"/>
              </w:rPr>
              <w:t xml:space="preserve">, Superseded 13/06/2013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34e4f51cfc9a4009">
              <w:r>
                <w:rPr>
                  <w:rStyle w:val="Hyperlink"/>
                </w:rPr>
                <w:t xml:space="preserve">Indigenous people of working age participate effectively in all sectors and at all levels of the labour market</w:t>
              </w:r>
            </w:hyperlink>
          </w:p>
          <w:p>
            <w:pPr>
              <w:pStyle w:val="registration-status"/>
              <w:spacing w:before="0" w:after="0"/>
            </w:pPr>
            <w:hyperlink w:history="true" r:id="R5d316da88d0e4337">
              <w:r>
                <w:rPr>
                  <w:rStyle w:val="Hyperlink"/>
                  <w:color w:val="244061"/>
                </w:rPr>
                <w:t xml:space="preserve">Indigenous</w:t>
              </w:r>
            </w:hyperlink>
            <w:r>
              <w:rPr>
                <w:rStyle w:val="row-content"/>
                <w:color w:val="244061"/>
              </w:rPr>
              <w:t xml:space="preserve">, Standard 21/07/2010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Presentation: Number and percentage (per 100 population).</w:t>
            </w:r>
          </w:p>
          <w:p>
            <w:pPr/>
            <w:r>
              <w:rPr>
                <w:rStyle w:val="row-content-rich-text"/>
              </w:rPr>
              <w:t xml:space="preserve">Rate ratios and rate differences are calculated for Indigenous:non-Indigenous.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Rate: 100 x (Numerator ÷ Denominator).</w:t>
            </w:r>
          </w:p>
          <w:p>
            <w:pPr>
              <w:spacing w:after="160"/>
            </w:pPr>
            <w:r>
              <w:rPr>
                <w:rStyle w:val="row-content-rich-text"/>
              </w:rPr>
              <w:t xml:space="preserve">Rate ratio: Indigenous rate divided by non-Indigenous rate.</w:t>
            </w:r>
          </w:p>
          <w:p>
            <w:pPr/>
            <w:r>
              <w:rPr>
                <w:rStyle w:val="row-content-rich-text"/>
              </w:rPr>
              <w:t xml:space="preserve">Rate difference: Indigenous rate minus non-Indigenous 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people aged 15–64 years employed.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a5e5d04991d422e">
              <w:r>
                <w:rPr>
                  <w:rStyle w:val="Hyperlink"/>
                </w:rPr>
                <w:t xml:space="preserve">Person—labour force status, code N</w:t>
              </w:r>
            </w:hyperlink>
          </w:p>
          <w:p>
            <w:r>
              <w:rPr>
                <w:rStyle w:val="row-content"/>
                <w:b/>
              </w:rPr>
              <w:t xml:space="preserve">Data Source</w:t>
            </w:r>
          </w:p>
          <w:p>
            <w:hyperlink w:history="true" r:id="R93603aa1be4a4320">
              <w:r>
                <w:rPr>
                  <w:rStyle w:val="Hyperlink"/>
                </w:rPr>
                <w:t xml:space="preserve">ABS 2006 Census of Population and Housing</w:t>
              </w:r>
            </w:hyperlink>
          </w:p>
          <w:p>
            <w:r>
              <w:rPr>
                <w:rStyle w:val="row-content"/>
                <w:b/>
              </w:rPr>
              <w:t xml:space="preserve">Guide for use</w:t>
            </w:r>
          </w:p>
          <w:p>
            <w:r>
              <w:rPr>
                <w:rStyle w:val="row-content"/>
              </w:rPr>
              <w:t xml:space="preserve">Data source type: Census</w:t>
            </w:r>
          </w:p>
          <w:p>
            <w:r>
              <w:rPr>
                <w:rStyle w:val="row-content"/>
              </w:rPr>
              <w:t xml:space="preserve">Supplementary numerator data source</w:t>
            </w:r>
          </w:p>
          <w:p>
            <w:r>
              <w:rPr>
                <w:rStyle w:val="row-content"/>
              </w:rPr>
              <w:t xml:space="preserve"> </w:t>
            </w:r>
          </w:p>
          <w:p>
            <w:r>
              <w:rPr>
                <w:rStyle w:val="row-content"/>
                <w:b/>
                <w:color w:val="000000"/>
              </w:rPr>
              <w:t xml:space="preserve">Data Element / Data Set</w:t>
            </w:r>
          </w:p>
          <w:p>
            <w:hyperlink w:history="true" r:id="Rf81445eecbf24e69">
              <w:r>
                <w:rPr>
                  <w:rStyle w:val="Hyperlink"/>
                </w:rPr>
                <w:t xml:space="preserve">Person—age, total years N[NN]</w:t>
              </w:r>
            </w:hyperlink>
          </w:p>
          <w:p>
            <w:r>
              <w:rPr>
                <w:rStyle w:val="row-content"/>
                <w:b/>
              </w:rPr>
              <w:t xml:space="preserve">Data Source</w:t>
            </w:r>
          </w:p>
          <w:p>
            <w:hyperlink w:history="true" r:id="R737f10cd63834d5d">
              <w:r>
                <w:rPr>
                  <w:rStyle w:val="Hyperlink"/>
                </w:rPr>
                <w:t xml:space="preserve">ABS 2006 Census of Population and Housing</w:t>
              </w:r>
            </w:hyperlink>
          </w:p>
          <w:p>
            <w:r>
              <w:rPr>
                <w:rStyle w:val="row-content"/>
                <w:b/>
              </w:rPr>
              <w:t xml:space="preserve">Guide for use</w:t>
            </w:r>
          </w:p>
          <w:p>
            <w:r>
              <w:rPr>
                <w:rStyle w:val="row-content"/>
              </w:rPr>
              <w:t xml:space="preserve">Data source type: Census</w:t>
            </w:r>
          </w:p>
          <w:p>
            <w:r>
              <w:rPr>
                <w:rStyle w:val="row-content"/>
              </w:rPr>
              <w:t xml:space="preserve">Supplementary numerator 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 of people aged 15–64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48dea59cd83403f">
              <w:r>
                <w:rPr>
                  <w:rStyle w:val="Hyperlink"/>
                </w:rPr>
                <w:t xml:space="preserve">Person—age, total years N[NN]</w:t>
              </w:r>
            </w:hyperlink>
          </w:p>
          <w:p>
            <w:r>
              <w:rPr>
                <w:rStyle w:val="row-content"/>
                <w:b/>
              </w:rPr>
              <w:t xml:space="preserve">Data Source</w:t>
            </w:r>
          </w:p>
          <w:p>
            <w:hyperlink w:history="true" r:id="R6c886ea613074d27">
              <w:r>
                <w:rPr>
                  <w:rStyle w:val="Hyperlink"/>
                </w:rPr>
                <w:t xml:space="preserve">ABS 2006 Census of Population and Housing</w:t>
              </w:r>
            </w:hyperlink>
          </w:p>
          <w:p>
            <w:r>
              <w:rPr>
                <w:rStyle w:val="row-content"/>
                <w:b/>
              </w:rPr>
              <w:t xml:space="preserve">Guide for use</w:t>
            </w:r>
          </w:p>
          <w:p>
            <w:r>
              <w:rPr>
                <w:rStyle w:val="row-content"/>
              </w:rPr>
              <w:t xml:space="preserve">Data source type: Census</w:t>
            </w:r>
          </w:p>
          <w:p>
            <w:r>
              <w:rPr>
                <w:rStyle w:val="row-content"/>
              </w:rPr>
              <w:t xml:space="preserve">Supplementary denominator data source</w:t>
            </w:r>
          </w:p>
          <w:p>
            <w:r>
              <w:rPr>
                <w:rStyle w:val="row-content"/>
              </w:rPr>
              <w:t xml:space="preserve"> </w:t>
            </w:r>
          </w:p>
          <w:p>
            <w:r>
              <w:rPr>
                <w:rStyle w:val="row-content"/>
                <w:b/>
                <w:color w:val="000000"/>
              </w:rPr>
              <w:t xml:space="preserve">Data Element / Data Set</w:t>
            </w:r>
          </w:p>
          <w:p>
            <w:hyperlink w:history="true" r:id="Rd24af04d81604628">
              <w:r>
                <w:rPr>
                  <w:rStyle w:val="Hyperlink"/>
                </w:rPr>
                <w:t xml:space="preserve">Person—estimated resident population of Australia, total people N[N(7)]</w:t>
              </w:r>
            </w:hyperlink>
          </w:p>
          <w:p>
            <w:r>
              <w:rPr>
                <w:rStyle w:val="row-content"/>
                <w:b/>
              </w:rPr>
              <w:t xml:space="preserve">Data Source</w:t>
            </w:r>
          </w:p>
          <w:p>
            <w:hyperlink w:history="true" r:id="R4e4d52b96bb043cc">
              <w:r>
                <w:rPr>
                  <w:rStyle w:val="Hyperlink"/>
                </w:rPr>
                <w:t xml:space="preserve">ABS 2006 Census of Population and Housing</w:t>
              </w:r>
            </w:hyperlink>
          </w:p>
          <w:p>
            <w:r>
              <w:rPr>
                <w:rStyle w:val="row-content"/>
                <w:b/>
              </w:rPr>
              <w:t xml:space="preserve">Guide for use</w:t>
            </w:r>
          </w:p>
          <w:p>
            <w:r>
              <w:rPr>
                <w:rStyle w:val="row-content"/>
              </w:rPr>
              <w:t xml:space="preserve">Data source type: Census</w:t>
            </w:r>
          </w:p>
          <w:p>
            <w:r>
              <w:rPr>
                <w:rStyle w:val="row-content"/>
              </w:rPr>
              <w:t xml:space="preserve">Supplementary denominator 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and state/territory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de6481dd1f04337">
              <w:r>
                <w:rPr>
                  <w:rStyle w:val="Hyperlink"/>
                </w:rPr>
                <w:t xml:space="preserve">Person—Indigenous status, code N</w:t>
              </w:r>
            </w:hyperlink>
          </w:p>
          <w:p>
            <w:r>
              <w:rPr>
                <w:rStyle w:val="row-content"/>
                <w:b/>
              </w:rPr>
              <w:t xml:space="preserve">Data Source</w:t>
            </w:r>
          </w:p>
          <w:p>
            <w:hyperlink w:history="true" r:id="R11b5bd15fb4c4783">
              <w:r>
                <w:rPr>
                  <w:rStyle w:val="Hyperlink"/>
                </w:rPr>
                <w:t xml:space="preserve">ABS 2006 Census of Population and Housing</w:t>
              </w:r>
            </w:hyperlink>
          </w:p>
          <w:p>
            <w:r>
              <w:rPr>
                <w:rStyle w:val="row-content"/>
                <w:b/>
              </w:rPr>
              <w:t xml:space="preserve">Guide for use</w:t>
            </w:r>
          </w:p>
          <w:p>
            <w:r>
              <w:rPr>
                <w:rStyle w:val="row-content"/>
              </w:rPr>
              <w:t xml:space="preserve">Data source type: Census</w:t>
            </w:r>
          </w:p>
          <w:p>
            <w:r>
              <w:rPr>
                <w:rStyle w:val="row-content"/>
              </w:rPr>
              <w:t xml:space="preserve"> </w:t>
            </w:r>
          </w:p>
          <w:p>
            <w:r>
              <w:rPr>
                <w:rStyle w:val="row-content"/>
                <w:b/>
                <w:color w:val="000000"/>
              </w:rPr>
              <w:t xml:space="preserve">Data Element / Data Set</w:t>
            </w:r>
          </w:p>
          <w:p>
            <w:hyperlink w:history="true" r:id="R486d887b05a94e03">
              <w:r>
                <w:rPr>
                  <w:rStyle w:val="Hyperlink"/>
                </w:rPr>
                <w:t xml:space="preserve">Person—area of usual residence, geographical location code (ASGC 2006) NNNNN</w:t>
              </w:r>
            </w:hyperlink>
          </w:p>
          <w:p>
            <w:r>
              <w:rPr>
                <w:rStyle w:val="row-content"/>
                <w:b/>
              </w:rPr>
              <w:t xml:space="preserve">Data Source</w:t>
            </w:r>
          </w:p>
          <w:p>
            <w:hyperlink w:history="true" r:id="Rbfa15b068e154935">
              <w:r>
                <w:rPr>
                  <w:rStyle w:val="Hyperlink"/>
                </w:rPr>
                <w:t xml:space="preserve">ABS 2006 Census of Population and Housing</w:t>
              </w:r>
            </w:hyperlink>
          </w:p>
          <w:p>
            <w:r>
              <w:rPr>
                <w:rStyle w:val="row-content"/>
                <w:b/>
              </w:rPr>
              <w:t xml:space="preserve">Guide for use</w:t>
            </w:r>
          </w:p>
          <w:p>
            <w:r>
              <w:rPr>
                <w:rStyle w:val="row-content"/>
              </w:rPr>
              <w:t xml:space="preserve">Data source type: Census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 NEW DATA FOR 2012 REPORTING.</w:t>
            </w:r>
          </w:p>
          <w:p>
            <w:pPr>
              <w:spacing w:after="160"/>
            </w:pPr>
            <w:r>
              <w:rPr>
                <w:rStyle w:val="row-content-rich-text"/>
              </w:rPr>
              <w:t xml:space="preserve">Data sources for this indicator are:</w:t>
            </w:r>
          </w:p>
          <w:p>
            <w:pPr>
              <w:pStyle w:val="ListParagraph"/>
              <w:numPr>
                <w:ilvl w:val="0"/>
                <w:numId w:val="2"/>
              </w:numPr>
            </w:pPr>
            <w:r>
              <w:rPr>
                <w:rStyle w:val="row-content-rich-text"/>
              </w:rPr>
              <w:t xml:space="preserve">Main data collection: NATSISS (Indigenous); NATSIHS (Indigenous); and SEW (non-Indigenous).</w:t>
            </w:r>
          </w:p>
          <w:p>
            <w:pPr>
              <w:pStyle w:val="ListParagraph"/>
              <w:numPr>
                <w:ilvl w:val="0"/>
                <w:numId w:val="2"/>
              </w:numPr>
            </w:pPr>
            <w:r>
              <w:rPr>
                <w:rStyle w:val="row-content-rich-text"/>
              </w:rPr>
              <w:t xml:space="preserve">Supplementary data collection: Census.</w:t>
            </w:r>
          </w:p>
          <w:p>
            <w:pPr>
              <w:spacing w:after="160"/>
            </w:pPr>
            <w:r>
              <w:rPr>
                <w:rStyle w:val="row-content-rich-text"/>
              </w:rPr>
              <w:t xml:space="preserve">The baseline report reported data from the 2008 NATSISS (Indigenous) and 2008 SEW (non-Indigenous) as the main data collection, and data from the 2006 Census as the supplementary data collection. The next available data source will be the 2011-12 NATSIHS for the Indigenous population.</w:t>
            </w:r>
          </w:p>
          <w:p>
            <w:pPr/>
            <w:r>
              <w:rPr>
                <w:rStyle w:val="row-content-rich-text"/>
              </w:rPr>
              <w:t xml:space="preserve">Baseline year for NIRA target (Halve the gap in employment outcomes within a decade) is 2008; baseline year for this indicator is 2008; target year is 2018.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a3170064a5fe4f6f">
              <w:r>
                <w:rPr>
                  <w:rStyle w:val="Hyperlink"/>
                </w:rPr>
                <w:t xml:space="preserve">Socioeconomic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6e2d4802d03048b7">
              <w:r>
                <w:rPr>
                  <w:rStyle w:val="Hyperlink"/>
                </w:rPr>
                <w:t xml:space="preserve">ABS 2006 Census of Population and Housing</w:t>
              </w:r>
            </w:hyperlink>
          </w:p>
          <w:p>
            <w:r>
              <w:rPr>
                <w:rStyle w:val="row-content"/>
                <w:b/>
              </w:rPr>
              <w:t xml:space="preserve">Frequency</w:t>
            </w:r>
          </w:p>
          <w:p>
            <w:r>
              <w:rPr>
                <w:rStyle w:val="row-content"/>
              </w:rPr>
              <w:t xml:space="preserve">Every 5 years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(ABS).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Long-term.</w:t>
            </w:r>
          </w:p>
          <w:p>
            <w:pPr/>
            <w:r>
              <w:rPr>
                <w:rStyle w:val="row-content-rich-text"/>
              </w:rPr>
              <w:t xml:space="preserve">Annual data is not currently available for Indigenous persons.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c91e7417c68f420e">
              <w:r>
                <w:rPr>
                  <w:rStyle w:val="Hyperlink"/>
                </w:rPr>
                <w:t xml:space="preserve">National Indigenous Reform Agreement Performance Information Management Group</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86da747a8f748f1">
              <w:r>
                <w:rPr>
                  <w:rStyle w:val="Hyperlink"/>
                </w:rPr>
                <w:t xml:space="preserve">National Indigenous Reform Agreement: PI 21a-Employment to population ratio, for the working age population (15-64 years) (Census Data), 2011</w:t>
              </w:r>
            </w:hyperlink>
          </w:p>
          <w:p>
            <w:pPr>
              <w:pStyle w:val="registration-status"/>
              <w:spacing w:before="0" w:after="0"/>
            </w:pPr>
            <w:hyperlink w:history="true" r:id="R23ae9c5c18c4428a">
              <w:r>
                <w:rPr>
                  <w:rStyle w:val="Hyperlink"/>
                  <w:color w:val="244061"/>
                </w:rPr>
                <w:t xml:space="preserve">Indigenous</w:t>
              </w:r>
            </w:hyperlink>
            <w:r>
              <w:rPr>
                <w:rStyle w:val="row-content"/>
                <w:color w:val="244061"/>
              </w:rPr>
              <w:t xml:space="preserve">, Superseded 01/07/2012</w:t>
            </w:r>
          </w:p>
          <w:p>
            <w:r>
              <w:br/>
            </w:r>
            <w:r>
              <w:rPr>
                <w:rStyle w:val="row-content"/>
              </w:rPr>
              <w:t xml:space="preserve">Has been superseded by </w:t>
            </w:r>
            <w:hyperlink w:history="true" r:id="R2cab4415c11b4cf6">
              <w:r>
                <w:rPr>
                  <w:rStyle w:val="Hyperlink"/>
                </w:rPr>
                <w:t xml:space="preserve">National Indigenous Reform Agreement: PI 14a-Level of workforce participation (Census data), 2013</w:t>
              </w:r>
            </w:hyperlink>
          </w:p>
          <w:p>
            <w:pPr>
              <w:pStyle w:val="registration-status"/>
              <w:spacing w:before="0" w:after="0"/>
            </w:pPr>
            <w:hyperlink w:history="true" r:id="R6882990a5f394e17">
              <w:r>
                <w:rPr>
                  <w:rStyle w:val="Hyperlink"/>
                  <w:color w:val="244061"/>
                </w:rPr>
                <w:t xml:space="preserve">Indigenous</w:t>
              </w:r>
            </w:hyperlink>
            <w:r>
              <w:rPr>
                <w:rStyle w:val="row-content"/>
                <w:color w:val="244061"/>
              </w:rPr>
              <w:t xml:space="preserve">, Superseded 13/12/2013</w:t>
            </w:r>
          </w:p>
          <w:p>
            <w:r>
              <w:br/>
            </w:r>
            <w:r>
              <w:rPr>
                <w:rStyle w:val="row-content"/>
              </w:rPr>
              <w:t xml:space="preserve">See also </w:t>
            </w:r>
            <w:hyperlink w:history="true" r:id="Rb8f6f25be81a45e5">
              <w:r>
                <w:rPr>
                  <w:rStyle w:val="Hyperlink"/>
                </w:rPr>
                <w:t xml:space="preserve">National Indigenous Reform Agreement: PI 21b-Employment to population ratio, for the working age population (15-64 years) (Survey Data), 2012</w:t>
              </w:r>
            </w:hyperlink>
          </w:p>
          <w:p>
            <w:pPr>
              <w:pStyle w:val="registration-status"/>
              <w:spacing w:before="0" w:after="0"/>
            </w:pPr>
            <w:hyperlink w:history="true" r:id="R77d60abcb93148af">
              <w:r>
                <w:rPr>
                  <w:rStyle w:val="Hyperlink"/>
                  <w:color w:val="244061"/>
                </w:rPr>
                <w:t xml:space="preserve">Indigenous</w:t>
              </w:r>
            </w:hyperlink>
            <w:r>
              <w:rPr>
                <w:rStyle w:val="row-content"/>
                <w:color w:val="244061"/>
              </w:rPr>
              <w:t xml:space="preserve">, Superseded 13/06/2013</w:t>
            </w:r>
          </w:p>
          <w:p>
            <w:r>
              <w:br/>
            </w:r>
          </w:p>
        </w:tc>
      </w:tr>
    </w:tbl>
    <w:p>
      <w:r>
        <w:br/>
      </w:r>
    </w:p>
    <w:sectPr>
      <w:footerReference xmlns:r="http://schemas.openxmlformats.org/officeDocument/2006/relationships" w:type="default" r:id="R43d987ae1c4f4c0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438695</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af2ed5d8eee4ef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3d987ae1c4f4c0f" /><Relationship Type="http://schemas.openxmlformats.org/officeDocument/2006/relationships/header" Target="/word/header1.xml" Id="R94ccd08d0b01464e" /><Relationship Type="http://schemas.openxmlformats.org/officeDocument/2006/relationships/settings" Target="/word/settings.xml" Id="Rea3329a1a7e04144" /><Relationship Type="http://schemas.openxmlformats.org/officeDocument/2006/relationships/styles" Target="/word/styles.xml" Id="R234c4a7c552e4873" /><Relationship Type="http://schemas.openxmlformats.org/officeDocument/2006/relationships/numbering" Target="/word/numbering.xml" Id="R4b9f4064c260413c" /><Relationship Type="http://schemas.openxmlformats.org/officeDocument/2006/relationships/hyperlink" Target="https://meteor-uat.aihw.gov.au/RegistrationAuthority/9" TargetMode="External" Id="R4e8ae6ab469b4c69" /><Relationship Type="http://schemas.openxmlformats.org/officeDocument/2006/relationships/hyperlink" Target="https://meteor-uat.aihw.gov.au/content/438475" TargetMode="External" Id="Rd4338d6f9f464eba" /><Relationship Type="http://schemas.openxmlformats.org/officeDocument/2006/relationships/hyperlink" Target="https://meteor-uat.aihw.gov.au/RegistrationAuthority/9" TargetMode="External" Id="Rd01da1bb9ff74592" /><Relationship Type="http://schemas.openxmlformats.org/officeDocument/2006/relationships/hyperlink" Target="https://meteor-uat.aihw.gov.au/content/396179" TargetMode="External" Id="R34e4f51cfc9a4009" /><Relationship Type="http://schemas.openxmlformats.org/officeDocument/2006/relationships/hyperlink" Target="https://meteor-uat.aihw.gov.au/RegistrationAuthority/9" TargetMode="External" Id="R5d316da88d0e4337" /><Relationship Type="http://schemas.openxmlformats.org/officeDocument/2006/relationships/hyperlink" Target="https://meteor-uat.aihw.gov.au/content/270112" TargetMode="External" Id="R2a5e5d04991d422e" /><Relationship Type="http://schemas.openxmlformats.org/officeDocument/2006/relationships/hyperlink" Target="https://meteor-uat.aihw.gov.au/content/394447" TargetMode="External" Id="R93603aa1be4a4320" /><Relationship Type="http://schemas.openxmlformats.org/officeDocument/2006/relationships/hyperlink" Target="https://meteor-uat.aihw.gov.au/content/303794" TargetMode="External" Id="Rf81445eecbf24e69" /><Relationship Type="http://schemas.openxmlformats.org/officeDocument/2006/relationships/hyperlink" Target="https://meteor-uat.aihw.gov.au/content/394447" TargetMode="External" Id="R737f10cd63834d5d" /><Relationship Type="http://schemas.openxmlformats.org/officeDocument/2006/relationships/hyperlink" Target="https://meteor-uat.aihw.gov.au/content/303794" TargetMode="External" Id="R548dea59cd83403f" /><Relationship Type="http://schemas.openxmlformats.org/officeDocument/2006/relationships/hyperlink" Target="https://meteor-uat.aihw.gov.au/content/394447" TargetMode="External" Id="R6c886ea613074d27" /><Relationship Type="http://schemas.openxmlformats.org/officeDocument/2006/relationships/hyperlink" Target="https://meteor-uat.aihw.gov.au/content/388656" TargetMode="External" Id="Rd24af04d81604628" /><Relationship Type="http://schemas.openxmlformats.org/officeDocument/2006/relationships/hyperlink" Target="https://meteor-uat.aihw.gov.au/content/394447" TargetMode="External" Id="R4e4d52b96bb043cc" /><Relationship Type="http://schemas.openxmlformats.org/officeDocument/2006/relationships/hyperlink" Target="https://meteor-uat.aihw.gov.au/content/291036" TargetMode="External" Id="R9de6481dd1f04337" /><Relationship Type="http://schemas.openxmlformats.org/officeDocument/2006/relationships/hyperlink" Target="https://meteor-uat.aihw.gov.au/content/394447" TargetMode="External" Id="R11b5bd15fb4c4783" /><Relationship Type="http://schemas.openxmlformats.org/officeDocument/2006/relationships/hyperlink" Target="https://meteor-uat.aihw.gov.au/content/341800" TargetMode="External" Id="R486d887b05a94e03" /><Relationship Type="http://schemas.openxmlformats.org/officeDocument/2006/relationships/hyperlink" Target="https://meteor-uat.aihw.gov.au/content/394447" TargetMode="External" Id="Rbfa15b068e154935" /><Relationship Type="http://schemas.openxmlformats.org/officeDocument/2006/relationships/hyperlink" Target="https://meteor-uat.aihw.gov.au/content/410674" TargetMode="External" Id="Ra3170064a5fe4f6f" /><Relationship Type="http://schemas.openxmlformats.org/officeDocument/2006/relationships/hyperlink" Target="https://meteor-uat.aihw.gov.au/content/394447" TargetMode="External" Id="R6e2d4802d03048b7" /><Relationship Type="http://schemas.openxmlformats.org/officeDocument/2006/relationships/hyperlink" Target="https://meteor-uat.aihw.gov.au/content/410271" TargetMode="External" Id="Rc91e7417c68f420e" /><Relationship Type="http://schemas.openxmlformats.org/officeDocument/2006/relationships/hyperlink" Target="https://meteor-uat.aihw.gov.au/content/425793" TargetMode="External" Id="R186da747a8f748f1" /><Relationship Type="http://schemas.openxmlformats.org/officeDocument/2006/relationships/hyperlink" Target="https://meteor-uat.aihw.gov.au/RegistrationAuthority/9" TargetMode="External" Id="R23ae9c5c18c4428a" /><Relationship Type="http://schemas.openxmlformats.org/officeDocument/2006/relationships/hyperlink" Target="https://meteor-uat.aihw.gov.au/content/484369" TargetMode="External" Id="R2cab4415c11b4cf6" /><Relationship Type="http://schemas.openxmlformats.org/officeDocument/2006/relationships/hyperlink" Target="https://meteor-uat.aihw.gov.au/RegistrationAuthority/9" TargetMode="External" Id="R6882990a5f394e17" /><Relationship Type="http://schemas.openxmlformats.org/officeDocument/2006/relationships/hyperlink" Target="https://meteor-uat.aihw.gov.au/content/438700" TargetMode="External" Id="Rb8f6f25be81a45e5" /><Relationship Type="http://schemas.openxmlformats.org/officeDocument/2006/relationships/hyperlink" Target="https://meteor-uat.aihw.gov.au/RegistrationAuthority/9" TargetMode="External" Id="R77d60abcb93148af" /></Relationships>
</file>

<file path=word/_rels/header1.xml.rels>&#65279;<?xml version="1.0" encoding="utf-8"?><Relationships xmlns="http://schemas.openxmlformats.org/package/2006/relationships"><Relationship Type="http://schemas.openxmlformats.org/officeDocument/2006/relationships/image" Target="/media/image.png" Id="Rbaf2ed5d8eee4ef9" /></Relationships>
</file>