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5713d18b214a2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13-Tobacco smoking during pregnancy,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c93838ad04fe3">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ddcea1bc0f4793">
              <w:r>
                <w:rPr>
                  <w:rStyle w:val="Hyperlink"/>
                </w:rPr>
                <w:t xml:space="preserve">National Indigenous Reform Agreement (2012)</w:t>
              </w:r>
            </w:hyperlink>
          </w:p>
          <w:p>
            <w:pPr>
              <w:pStyle w:val="registration-status"/>
              <w:spacing w:before="0" w:after="0"/>
            </w:pPr>
            <w:hyperlink w:history="true" r:id="R9b0992df54d545a6">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b1c1adabc148c0">
              <w:r>
                <w:rPr>
                  <w:rStyle w:val="Hyperlink"/>
                </w:rPr>
                <w:t xml:space="preserve">Indigenous children are born and remain healthy</w:t>
              </w:r>
            </w:hyperlink>
          </w:p>
          <w:p>
            <w:pPr>
              <w:pStyle w:val="registration-status"/>
              <w:spacing w:before="0" w:after="0"/>
            </w:pPr>
            <w:hyperlink w:history="true" r:id="Ra9efe0409cfd453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a04877780964cac">
              <w:r>
                <w:rPr>
                  <w:rStyle w:val="Hyperlink"/>
                </w:rPr>
                <w:t xml:space="preserve">National Indigenous Reform Agreement: PI 13-Tobacco smoking during pregnancy, 2012 QS</w:t>
              </w:r>
            </w:hyperlink>
          </w:p>
          <w:p>
            <w:pPr>
              <w:pStyle w:val="registration-status"/>
              <w:spacing w:before="0" w:after="0"/>
            </w:pPr>
            <w:hyperlink w:history="true" r:id="R41ecba557e8e4a10">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 More work is to be undertaken by the AIHW regarding the use of variability bands for perinatal data for COAG reporting.</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mothers (percentage), rate ratios, and rate differences.</w:t>
            </w:r>
          </w:p>
          <w:p>
            <w:pPr>
              <w:spacing w:after="160"/>
            </w:pPr>
            <w:r>
              <w:rPr>
                <w:rStyle w:val="row-content-rich-text"/>
              </w:rPr>
              <w:t xml:space="preserve">Excludes Australian non-residents of external territories and where state/territory of residence was not stated.</w:t>
            </w:r>
          </w:p>
          <w:p>
            <w:pPr/>
            <w:r>
              <w:rPr>
                <w:rStyle w:val="row-content-rich-text"/>
              </w:rPr>
              <w:t xml:space="preserve">Excludes multiple births, still births and births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9112a6aafe9144b7">
              <w:r>
                <w:rPr>
                  <w:rStyle w:val="Hyperlink"/>
                </w:rPr>
                <w:t xml:space="preserve">AIHW National Perinatal Data Collection (NPDC)</w:t>
              </w:r>
            </w:hyperlink>
          </w:p>
          <w:p>
            <w:r>
              <w:rPr>
                <w:rStyle w:val="row-content"/>
                <w:b/>
              </w:rPr>
              <w:t xml:space="preserve">NMDS / DSS</w:t>
            </w:r>
          </w:p>
          <w:p>
            <w:hyperlink w:history="true" r:id="R22fc53114b0344d2">
              <w:r>
                <w:rPr>
                  <w:rStyle w:val="Hyperlink"/>
                </w:rPr>
                <w:t xml:space="preserve">Perinatal NMDS 2008-2010</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f6b13d35fa9d493f">
              <w:r>
                <w:rPr>
                  <w:rStyle w:val="Hyperlink"/>
                </w:rPr>
                <w:t xml:space="preserve">AIHW National Perinatal Data Collection (NPDC)</w:t>
              </w:r>
            </w:hyperlink>
          </w:p>
          <w:p>
            <w:r>
              <w:rPr>
                <w:rStyle w:val="row-content"/>
                <w:b/>
              </w:rPr>
              <w:t xml:space="preserve">NMDS / DSS</w:t>
            </w:r>
          </w:p>
          <w:p>
            <w:hyperlink w:history="true" r:id="R32c05882c701493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Includes ‘not stated’ mother's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(2009):</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by smoking status </w:t>
            </w:r>
          </w:p>
          <w:p>
            <w:pPr>
              <w:spacing w:after="160"/>
            </w:pPr>
            <w:r>
              <w:rPr>
                <w:rStyle w:val="row-content-rich-text"/>
              </w:rPr>
              <w:t xml:space="preserve">Time series – 2007, 2008 (previously supplied); 2009 (required for 2012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advised by the AIHW):</w:t>
            </w:r>
          </w:p>
          <w:p>
            <w:pPr>
              <w:pStyle w:val="ListParagraph"/>
              <w:numPr>
                <w:ilvl w:val="0"/>
                <w:numId w:val="3"/>
              </w:numPr>
            </w:pPr>
            <w:r>
              <w:rPr>
                <w:rStyle w:val="row-content-rich-text"/>
              </w:rPr>
              <w:t xml:space="preserve">National and state/territory, by Indigenous status, by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9f5270658d4153">
              <w:r>
                <w:rPr>
                  <w:rStyle w:val="Hyperlink"/>
                </w:rPr>
                <w:t xml:space="preserve">Person—Indigenous status, code N</w:t>
              </w:r>
            </w:hyperlink>
          </w:p>
          <w:p>
            <w:r>
              <w:rPr>
                <w:rStyle w:val="row-content"/>
                <w:b/>
              </w:rPr>
              <w:t xml:space="preserve">Data Source</w:t>
            </w:r>
          </w:p>
          <w:p>
            <w:hyperlink w:history="true" r:id="R13f87830202c4f04">
              <w:r>
                <w:rPr>
                  <w:rStyle w:val="Hyperlink"/>
                </w:rPr>
                <w:t xml:space="preserve">AIHW National Perinatal Data Collection (NPDC)</w:t>
              </w:r>
            </w:hyperlink>
          </w:p>
          <w:p>
            <w:r>
              <w:rPr>
                <w:rStyle w:val="row-content"/>
                <w:b/>
              </w:rPr>
              <w:t xml:space="preserve">NMDS / DSS</w:t>
            </w:r>
          </w:p>
          <w:p>
            <w:hyperlink w:history="true" r:id="R9b7af57b46574ab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76a0d8f36a4051">
              <w:r>
                <w:rPr>
                  <w:rStyle w:val="Hyperlink"/>
                </w:rPr>
                <w:t xml:space="preserve">Person—area of usual residence, geographical location code (ASGC 2008) NNNNN</w:t>
              </w:r>
            </w:hyperlink>
          </w:p>
          <w:p>
            <w:r>
              <w:rPr>
                <w:rStyle w:val="row-content"/>
                <w:b/>
              </w:rPr>
              <w:t xml:space="preserve">Data Source</w:t>
            </w:r>
          </w:p>
          <w:p>
            <w:hyperlink w:history="true" r:id="R832d32807bfc4e93">
              <w:r>
                <w:rPr>
                  <w:rStyle w:val="Hyperlink"/>
                </w:rPr>
                <w:t xml:space="preserve">AIHW National Perinatal Data Collection (NPDC)</w:t>
              </w:r>
            </w:hyperlink>
          </w:p>
          <w:p>
            <w:r>
              <w:rPr>
                <w:rStyle w:val="row-content"/>
                <w:b/>
              </w:rPr>
              <w:t xml:space="preserve">NMDS / DSS</w:t>
            </w:r>
          </w:p>
          <w:p>
            <w:hyperlink w:history="true" r:id="R239791672dce4e1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Data are available for 2012 reporting for all states and territories. For the 2010 and 2011 CRC reports, data were available for NSW, Queensland, WA, SA, Tasmania, NT and ACT.</w:t>
            </w:r>
          </w:p>
          <w:p>
            <w:pPr>
              <w:spacing w:after="160"/>
            </w:pPr>
            <w:r>
              <w:rPr>
                <w:rStyle w:val="row-content-rich-text"/>
              </w:rPr>
              <w:t xml:space="preserve">There is currently no data element in the Perinatal National Minimum Data Set for smoking during pregnancy, however some information is obtained as part of the National Perinatal Data Collection (NPDC).</w:t>
            </w:r>
          </w:p>
          <w:p>
            <w:pPr>
              <w:spacing w:after="160"/>
            </w:pPr>
            <w:r>
              <w:rPr>
                <w:rStyle w:val="row-content-rich-text"/>
              </w:rPr>
              <w:t xml:space="preserve">Information is included in the NPDC for all live births and still births of at least 400 grams birthweight or at least 20 weeks gestation. A program for national data development was completed in 2009 to add nationally agreed data items on smoking during pregnancy to the Perinatal NMDS from 1 July 2010. </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3ad9023a9345f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c2e1daac1f481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9c9e8d798b484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23d8c4b3884be9">
              <w:r>
                <w:rPr>
                  <w:rStyle w:val="Hyperlink"/>
                </w:rPr>
                <w:t xml:space="preserve">National Indigenous Reform Agreement: PI 13-Tobacco smoking during pregnancy, 2011</w:t>
              </w:r>
            </w:hyperlink>
          </w:p>
          <w:p>
            <w:pPr>
              <w:pStyle w:val="registration-status"/>
              <w:spacing w:before="0" w:after="0"/>
            </w:pPr>
            <w:hyperlink w:history="true" r:id="R8423e849908d43fa">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514f2d9735484780">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26f60f54ecc14e21">
              <w:r>
                <w:rPr>
                  <w:rStyle w:val="Hyperlink"/>
                </w:rPr>
                <w:t xml:space="preserve">National Indigenous Reform Agreement: PI 08-Tobacco smoking during pregnancy, 2013</w:t>
              </w:r>
            </w:hyperlink>
          </w:p>
          <w:p>
            <w:pPr>
              <w:pStyle w:val="registration-status"/>
              <w:spacing w:before="0" w:after="0"/>
            </w:pPr>
            <w:hyperlink w:history="true" r:id="R4a5df8c80a644c9e">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fcfaaa8bcd3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1fb46f4e5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faaa8bcd34f95" /><Relationship Type="http://schemas.openxmlformats.org/officeDocument/2006/relationships/header" Target="/word/header1.xml" Id="R53a69e7783764633" /><Relationship Type="http://schemas.openxmlformats.org/officeDocument/2006/relationships/settings" Target="/word/settings.xml" Id="R1943f6114838477e" /><Relationship Type="http://schemas.openxmlformats.org/officeDocument/2006/relationships/styles" Target="/word/styles.xml" Id="R75681fb442b647b3" /><Relationship Type="http://schemas.openxmlformats.org/officeDocument/2006/relationships/numbering" Target="/word/numbering.xml" Id="R3cc59d63d97c49af" /><Relationship Type="http://schemas.openxmlformats.org/officeDocument/2006/relationships/hyperlink" Target="https://meteor-uat.aihw.gov.au/RegistrationAuthority/9" TargetMode="External" Id="Rdc0c93838ad04fe3" /><Relationship Type="http://schemas.openxmlformats.org/officeDocument/2006/relationships/hyperlink" Target="https://meteor-uat.aihw.gov.au/content/438475" TargetMode="External" Id="R20ddcea1bc0f4793" /><Relationship Type="http://schemas.openxmlformats.org/officeDocument/2006/relationships/hyperlink" Target="https://meteor-uat.aihw.gov.au/RegistrationAuthority/9" TargetMode="External" Id="R9b0992df54d545a6" /><Relationship Type="http://schemas.openxmlformats.org/officeDocument/2006/relationships/hyperlink" Target="https://meteor-uat.aihw.gov.au/content/396166" TargetMode="External" Id="R9bb1c1adabc148c0" /><Relationship Type="http://schemas.openxmlformats.org/officeDocument/2006/relationships/hyperlink" Target="https://meteor-uat.aihw.gov.au/RegistrationAuthority/9" TargetMode="External" Id="Ra9efe0409cfd453d" /><Relationship Type="http://schemas.openxmlformats.org/officeDocument/2006/relationships/hyperlink" Target="https://meteor-uat.aihw.gov.au/content/480502" TargetMode="External" Id="R6a04877780964cac" /><Relationship Type="http://schemas.openxmlformats.org/officeDocument/2006/relationships/hyperlink" Target="https://meteor-uat.aihw.gov.au/RegistrationAuthority/9" TargetMode="External" Id="R41ecba557e8e4a10" /><Relationship Type="http://schemas.openxmlformats.org/officeDocument/2006/relationships/hyperlink" Target="https://meteor-uat.aihw.gov.au/content/392479" TargetMode="External" Id="R9112a6aafe9144b7" /><Relationship Type="http://schemas.openxmlformats.org/officeDocument/2006/relationships/hyperlink" Target="https://meteor-uat.aihw.gov.au/content/362313" TargetMode="External" Id="R22fc53114b0344d2" /><Relationship Type="http://schemas.openxmlformats.org/officeDocument/2006/relationships/hyperlink" Target="https://meteor-uat.aihw.gov.au/content/392479" TargetMode="External" Id="Rf6b13d35fa9d493f" /><Relationship Type="http://schemas.openxmlformats.org/officeDocument/2006/relationships/hyperlink" Target="https://meteor-uat.aihw.gov.au/content/362313" TargetMode="External" Id="R32c05882c7014939" /><Relationship Type="http://schemas.openxmlformats.org/officeDocument/2006/relationships/hyperlink" Target="https://meteor-uat.aihw.gov.au/content/291036" TargetMode="External" Id="Rf89f5270658d4153" /><Relationship Type="http://schemas.openxmlformats.org/officeDocument/2006/relationships/hyperlink" Target="https://meteor-uat.aihw.gov.au/content/392479" TargetMode="External" Id="R13f87830202c4f04" /><Relationship Type="http://schemas.openxmlformats.org/officeDocument/2006/relationships/hyperlink" Target="https://meteor-uat.aihw.gov.au/content/362313" TargetMode="External" Id="R9b7af57b46574ab9" /><Relationship Type="http://schemas.openxmlformats.org/officeDocument/2006/relationships/hyperlink" Target="https://meteor-uat.aihw.gov.au/content/377103" TargetMode="External" Id="Ref76a0d8f36a4051" /><Relationship Type="http://schemas.openxmlformats.org/officeDocument/2006/relationships/hyperlink" Target="https://meteor-uat.aihw.gov.au/content/392479" TargetMode="External" Id="R832d32807bfc4e93" /><Relationship Type="http://schemas.openxmlformats.org/officeDocument/2006/relationships/hyperlink" Target="https://meteor-uat.aihw.gov.au/content/362313" TargetMode="External" Id="R239791672dce4e12" /><Relationship Type="http://schemas.openxmlformats.org/officeDocument/2006/relationships/hyperlink" Target="https://meteor-uat.aihw.gov.au/content/410676" TargetMode="External" Id="R853ad9023a9345f8" /><Relationship Type="http://schemas.openxmlformats.org/officeDocument/2006/relationships/hyperlink" Target="https://meteor-uat.aihw.gov.au/content/392479" TargetMode="External" Id="Re1c2e1daac1f4815" /><Relationship Type="http://schemas.openxmlformats.org/officeDocument/2006/relationships/hyperlink" Target="https://meteor-uat.aihw.gov.au/content/410271" TargetMode="External" Id="Ref9c9e8d798b4846" /><Relationship Type="http://schemas.openxmlformats.org/officeDocument/2006/relationships/hyperlink" Target="https://meteor-uat.aihw.gov.au/content/425773" TargetMode="External" Id="R5923d8c4b3884be9" /><Relationship Type="http://schemas.openxmlformats.org/officeDocument/2006/relationships/hyperlink" Target="https://meteor-uat.aihw.gov.au/RegistrationAuthority/14" TargetMode="External" Id="R8423e849908d43fa" /><Relationship Type="http://schemas.openxmlformats.org/officeDocument/2006/relationships/hyperlink" Target="https://meteor-uat.aihw.gov.au/RegistrationAuthority/9" TargetMode="External" Id="R514f2d9735484780" /><Relationship Type="http://schemas.openxmlformats.org/officeDocument/2006/relationships/hyperlink" Target="https://meteor-uat.aihw.gov.au/content/484309" TargetMode="External" Id="R26f60f54ecc14e21" /><Relationship Type="http://schemas.openxmlformats.org/officeDocument/2006/relationships/hyperlink" Target="https://meteor-uat.aihw.gov.au/RegistrationAuthority/9" TargetMode="External" Id="R4a5df8c80a644c9e" /></Relationships>
</file>

<file path=word/_rels/header1.xml.rels>&#65279;<?xml version="1.0" encoding="utf-8"?><Relationships xmlns="http://schemas.openxmlformats.org/package/2006/relationships"><Relationship Type="http://schemas.openxmlformats.org/officeDocument/2006/relationships/image" Target="/media/image.png" Id="R3e41fb46f4e54904" /></Relationships>
</file>