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74116b5db4e7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85c4d271e4dda">
              <w:r>
                <w:rPr>
                  <w:rStyle w:val="Hyperlink"/>
                  <w:color w:val="244061"/>
                </w:rPr>
                <w:t xml:space="preserve">Health!</w:t>
              </w:r>
            </w:hyperlink>
            <w:r>
              <w:rPr>
                <w:rStyle w:val="row-content"/>
                <w:color w:val="244061"/>
              </w:rPr>
              <w:t xml:space="preserve">, Superseded 21/11/2013</w:t>
            </w:r>
          </w:p>
          <w:p>
            <w:pPr>
              <w:spacing w:before="0" w:after="0"/>
            </w:pPr>
            <w:hyperlink w:history="true" r:id="Rff808a28e9464366">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Department of Health and Ageing (DoHA).</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will initially be collected from a limited number of primary health care services, i.e. those funded by the Office for Aboriginal and Torres Strait Islander Health (OATSIH) via the Healthy for Life program. From mid-2012, data collection will be extended to the remainder of services funded by OATSIH to deliver primary health care. From mid-2013, data collection will be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Pen Computer Systems 2009. Clinical Audit Tool - User Guide, Pen Computer Systems Pty Ltd, Sydney, viewed 7 November 2011, </w:t>
            </w:r>
          </w:p>
          <w:p>
            <w:hyperlink w:history="true" r:id="Re9263791186a400e">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7b3277eebe4cd3">
              <w:r>
                <w:rPr>
                  <w:rStyle w:val="Hyperlink"/>
                </w:rPr>
                <w:t xml:space="preserve">Indigenous primary health care DSS 2014-15</w:t>
              </w:r>
            </w:hyperlink>
          </w:p>
          <w:p>
            <w:pPr>
              <w:pStyle w:val="registration-status"/>
              <w:spacing w:before="0" w:after="0"/>
            </w:pPr>
            <w:hyperlink w:history="true" r:id="R18a7cb401405471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59e33594bb0438f">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f4560949d534a52">
              <w:r>
                <w:rPr>
                  <w:rStyle w:val="Hyperlink"/>
                </w:rPr>
                <w:t xml:space="preserve">Indigenous primary health care key performance indicators (2012)</w:t>
              </w:r>
            </w:hyperlink>
          </w:p>
          <w:p>
            <w:pPr>
              <w:pStyle w:val="registration-status"/>
              <w:spacing w:before="0" w:after="0"/>
            </w:pPr>
            <w:hyperlink w:history="true" r:id="Ra9adc6def591463a">
              <w:r>
                <w:rPr>
                  <w:rStyle w:val="Hyperlink"/>
                  <w:color w:val="244061"/>
                </w:rPr>
                <w:t xml:space="preserve">Health!</w:t>
              </w:r>
            </w:hyperlink>
            <w:r>
              <w:rPr>
                <w:rStyle w:val="row-content"/>
                <w:color w:val="244061"/>
              </w:rPr>
              <w:t xml:space="preserve">, Superseded 23/02/2012</w:t>
            </w:r>
          </w:p>
          <w:p>
            <w:r>
              <w:br/>
            </w:r>
            <w:r>
              <w:rPr>
                <w:rStyle w:val="row-content"/>
              </w:rPr>
              <w:t xml:space="preserve">See also </w:t>
            </w:r>
            <w:hyperlink w:history="true" r:id="R2198a78f9aea4da4">
              <w:r>
                <w:rPr>
                  <w:rStyle w:val="Hyperlink"/>
                </w:rPr>
                <w:t xml:space="preserve">Indigenous primary health care key performance indicators (2013)</w:t>
              </w:r>
            </w:hyperlink>
          </w:p>
          <w:p>
            <w:pPr>
              <w:pStyle w:val="registration-status"/>
              <w:spacing w:before="0" w:after="0"/>
            </w:pPr>
            <w:hyperlink w:history="true" r:id="Rc8119e1e22924e0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82d86acc5b4409d">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6b2a7351548b7">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2f72f4afb4efc">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93a7bef6e47c1">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7e39c547e46df">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d755a117b4b1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3fc1076f540e0">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f232456e140e6">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30974dff94581">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3597f9f414516">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1537bd2034f61">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9c0fd51464f78">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5539e681e4740">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5b29df0f8e6b4eee">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db6c26f874808">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779ce23551824977">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38e6e3ea341f4">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ef56ec2c049cf">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b9744347c4f50">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59cbd4aec4e67">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8bb4c28634580">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6ec4e340f4f4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319ed793448a5">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fdcf50cad4ad7">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b9462e38240ff">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1dba15cf648e3">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72d5c11c04b7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533851b4d483d">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d5ee1bcc14f4e">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7769f04fe4193">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78b057b9af4e48">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c9aeb2c5447e6">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7d5fef32b48f8">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121a30fc64043">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c18ec6ed64180">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31b61695a43b8">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523d0baf6480f">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8c20651474a4a">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e566dae2a4a63">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36f8c6ef54279">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700cc2d7644ac">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fb7cf3f2448cc">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987b586c448e8">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2678597df4ec6">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20f47f98e4284">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578b457d044d93">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b2fae25d74e23">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b6f358bb44c0e">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2e4250fd5b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b06aa1200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e4250fd5b40be" /><Relationship Type="http://schemas.openxmlformats.org/officeDocument/2006/relationships/header" Target="/word/header1.xml" Id="R1cd2f558d3504e7f" /><Relationship Type="http://schemas.openxmlformats.org/officeDocument/2006/relationships/settings" Target="/word/settings.xml" Id="Ra3b77b3d76684fdf" /><Relationship Type="http://schemas.openxmlformats.org/officeDocument/2006/relationships/styles" Target="/word/styles.xml" Id="R47ac188213d545d9" /><Relationship Type="http://schemas.openxmlformats.org/officeDocument/2006/relationships/hyperlink" Target="https://meteor-uat.aihw.gov.au/RegistrationAuthority/14" TargetMode="External" Id="R56b85c4d271e4dda" /><Relationship Type="http://schemas.openxmlformats.org/officeDocument/2006/relationships/hyperlink" Target="https://meteor-uat.aihw.gov.au/RegistrationAuthority/9" TargetMode="External" Id="Rff808a28e9464366" /><Relationship Type="http://schemas.openxmlformats.org/officeDocument/2006/relationships/hyperlink" Target="http://help.pencs.com.au/cat.htm" TargetMode="External" Id="Re9263791186a400e" /><Relationship Type="http://schemas.openxmlformats.org/officeDocument/2006/relationships/hyperlink" Target="https://meteor-uat.aihw.gov.au/content/504325" TargetMode="External" Id="R917b3277eebe4cd3" /><Relationship Type="http://schemas.openxmlformats.org/officeDocument/2006/relationships/hyperlink" Target="https://meteor-uat.aihw.gov.au/RegistrationAuthority/14" TargetMode="External" Id="R18a7cb4014054719" /><Relationship Type="http://schemas.openxmlformats.org/officeDocument/2006/relationships/hyperlink" Target="https://meteor-uat.aihw.gov.au/RegistrationAuthority/9" TargetMode="External" Id="R859e33594bb0438f" /><Relationship Type="http://schemas.openxmlformats.org/officeDocument/2006/relationships/hyperlink" Target="https://meteor-uat.aihw.gov.au/content/430638" TargetMode="External" Id="R9f4560949d534a52" /><Relationship Type="http://schemas.openxmlformats.org/officeDocument/2006/relationships/hyperlink" Target="https://meteor-uat.aihw.gov.au/RegistrationAuthority/14" TargetMode="External" Id="Ra9adc6def591463a" /><Relationship Type="http://schemas.openxmlformats.org/officeDocument/2006/relationships/hyperlink" Target="https://meteor-uat.aihw.gov.au/content/457994" TargetMode="External" Id="R2198a78f9aea4da4" /><Relationship Type="http://schemas.openxmlformats.org/officeDocument/2006/relationships/hyperlink" Target="https://meteor-uat.aihw.gov.au/RegistrationAuthority/14" TargetMode="External" Id="Rc8119e1e22924e02" /><Relationship Type="http://schemas.openxmlformats.org/officeDocument/2006/relationships/hyperlink" Target="https://meteor-uat.aihw.gov.au/RegistrationAuthority/9" TargetMode="External" Id="R882d86acc5b4409d" /><Relationship Type="http://schemas.openxmlformats.org/officeDocument/2006/relationships/hyperlink" Target="https://meteor-uat.aihw.gov.au/content/459938" TargetMode="External" Id="R9646b2a7351548b7" /><Relationship Type="http://schemas.openxmlformats.org/officeDocument/2006/relationships/hyperlink" Target="https://meteor-uat.aihw.gov.au/content/457664" TargetMode="External" Id="Rfe42f72f4afb4efc" /><Relationship Type="http://schemas.openxmlformats.org/officeDocument/2006/relationships/hyperlink" Target="https://meteor-uat.aihw.gov.au/content/358921" TargetMode="External" Id="R29193a7bef6e47c1" /><Relationship Type="http://schemas.openxmlformats.org/officeDocument/2006/relationships/hyperlink" Target="https://meteor-uat.aihw.gov.au/content/457775" TargetMode="External" Id="Re1e7e39c547e46df" /><Relationship Type="http://schemas.openxmlformats.org/officeDocument/2006/relationships/hyperlink" Target="https://meteor-uat.aihw.gov.au/content/303794" TargetMode="External" Id="R712d755a117b4b12" /><Relationship Type="http://schemas.openxmlformats.org/officeDocument/2006/relationships/hyperlink" Target="https://meteor-uat.aihw.gov.au/content/441441" TargetMode="External" Id="R7673fc1076f540e0" /><Relationship Type="http://schemas.openxmlformats.org/officeDocument/2006/relationships/hyperlink" Target="https://meteor-uat.aihw.gov.au/content/441701" TargetMode="External" Id="R75df232456e140e6" /><Relationship Type="http://schemas.openxmlformats.org/officeDocument/2006/relationships/hyperlink" Target="https://meteor-uat.aihw.gov.au/content/443234" TargetMode="External" Id="R82c30974dff94581" /><Relationship Type="http://schemas.openxmlformats.org/officeDocument/2006/relationships/hyperlink" Target="https://meteor-uat.aihw.gov.au/content/441407" TargetMode="External" Id="R4a43597f9f414516" /><Relationship Type="http://schemas.openxmlformats.org/officeDocument/2006/relationships/hyperlink" Target="https://meteor-uat.aihw.gov.au/content/270474" TargetMode="External" Id="R3081537bd2034f61" /><Relationship Type="http://schemas.openxmlformats.org/officeDocument/2006/relationships/hyperlink" Target="https://meteor-uat.aihw.gov.au/content/443083" TargetMode="External" Id="Re1e9c0fd51464f78" /><Relationship Type="http://schemas.openxmlformats.org/officeDocument/2006/relationships/hyperlink" Target="https://meteor-uat.aihw.gov.au/content/465948" TargetMode="External" Id="R5545539e681e4740" /><Relationship Type="http://schemas.openxmlformats.org/officeDocument/2006/relationships/hyperlink" Target="http://help.pencs.com.au/cat.htm" TargetMode="External" Id="R5b29df0f8e6b4eee" /><Relationship Type="http://schemas.openxmlformats.org/officeDocument/2006/relationships/hyperlink" Target="https://meteor-uat.aihw.gov.au/content/464928" TargetMode="External" Id="R455db6c26f874808" /><Relationship Type="http://schemas.openxmlformats.org/officeDocument/2006/relationships/hyperlink" Target="http://help.pencs.com.au/cat.htm" TargetMode="External" Id="R779ce23551824977" /><Relationship Type="http://schemas.openxmlformats.org/officeDocument/2006/relationships/hyperlink" Target="https://meteor-uat.aihw.gov.au/content/270194" TargetMode="External" Id="R41e38e6e3ea341f4" /><Relationship Type="http://schemas.openxmlformats.org/officeDocument/2006/relationships/hyperlink" Target="https://meteor-uat.aihw.gov.au/content/464961" TargetMode="External" Id="R498ef56ec2c049cf" /><Relationship Type="http://schemas.openxmlformats.org/officeDocument/2006/relationships/hyperlink" Target="https://meteor-uat.aihw.gov.au/content/443631" TargetMode="External" Id="R273b9744347c4f50" /><Relationship Type="http://schemas.openxmlformats.org/officeDocument/2006/relationships/hyperlink" Target="https://meteor-uat.aihw.gov.au/content/441495" TargetMode="External" Id="Refb59cbd4aec4e67" /><Relationship Type="http://schemas.openxmlformats.org/officeDocument/2006/relationships/hyperlink" Target="https://meteor-uat.aihw.gov.au/content/441514" TargetMode="External" Id="R8c18bb4c28634580" /><Relationship Type="http://schemas.openxmlformats.org/officeDocument/2006/relationships/hyperlink" Target="https://meteor-uat.aihw.gov.au/content/291036" TargetMode="External" Id="R76b6ec4e340f4f41" /><Relationship Type="http://schemas.openxmlformats.org/officeDocument/2006/relationships/hyperlink" Target="https://meteor-uat.aihw.gov.au/content/457688" TargetMode="External" Id="R592319ed793448a5" /><Relationship Type="http://schemas.openxmlformats.org/officeDocument/2006/relationships/hyperlink" Target="https://meteor-uat.aihw.gov.au/content/441371" TargetMode="External" Id="Rcadfdcf50cad4ad7" /><Relationship Type="http://schemas.openxmlformats.org/officeDocument/2006/relationships/hyperlink" Target="https://meteor-uat.aihw.gov.au/content/464970" TargetMode="External" Id="Re04b9462e38240ff" /><Relationship Type="http://schemas.openxmlformats.org/officeDocument/2006/relationships/hyperlink" Target="https://meteor-uat.aihw.gov.au/content/436639" TargetMode="External" Id="R5891dba15cf648e3" /><Relationship Type="http://schemas.openxmlformats.org/officeDocument/2006/relationships/hyperlink" Target="https://meteor-uat.aihw.gov.au/content/287316" TargetMode="External" Id="Rd4972d5c11c04b70" /><Relationship Type="http://schemas.openxmlformats.org/officeDocument/2006/relationships/hyperlink" Target="https://meteor-uat.aihw.gov.au/content/441380" TargetMode="External" Id="R381533851b4d483d" /><Relationship Type="http://schemas.openxmlformats.org/officeDocument/2006/relationships/hyperlink" Target="https://meteor-uat.aihw.gov.au/content/441521" TargetMode="External" Id="Re73d5ee1bcc14f4e" /><Relationship Type="http://schemas.openxmlformats.org/officeDocument/2006/relationships/hyperlink" Target="https://meteor-uat.aihw.gov.au/content/290315" TargetMode="External" Id="Rf797769f04fe4193" /><Relationship Type="http://schemas.openxmlformats.org/officeDocument/2006/relationships/hyperlink" Target="https://meteor-uat.aihw.gov.au/content/290064" TargetMode="External" Id="Ra978b057b9af4e48" /><Relationship Type="http://schemas.openxmlformats.org/officeDocument/2006/relationships/hyperlink" Target="https://meteor-uat.aihw.gov.au/content/290291" TargetMode="External" Id="R8bdc9aeb2c5447e6" /><Relationship Type="http://schemas.openxmlformats.org/officeDocument/2006/relationships/hyperlink" Target="https://meteor-uat.aihw.gov.au/content/290295" TargetMode="External" Id="R3cc7d5fef32b48f8" /><Relationship Type="http://schemas.openxmlformats.org/officeDocument/2006/relationships/hyperlink" Target="https://meteor-uat.aihw.gov.au/content/287480" TargetMode="External" Id="Rb28121a30fc64043" /><Relationship Type="http://schemas.openxmlformats.org/officeDocument/2006/relationships/hyperlink" Target="https://meteor-uat.aihw.gov.au/content/287521" TargetMode="External" Id="Rdbfc18ec6ed64180" /><Relationship Type="http://schemas.openxmlformats.org/officeDocument/2006/relationships/hyperlink" Target="https://meteor-uat.aihw.gov.au/content/290218" TargetMode="External" Id="R84031b61695a43b8" /><Relationship Type="http://schemas.openxmlformats.org/officeDocument/2006/relationships/hyperlink" Target="https://meteor-uat.aihw.gov.au/content/290193" TargetMode="External" Id="R7ca523d0baf6480f" /><Relationship Type="http://schemas.openxmlformats.org/officeDocument/2006/relationships/hyperlink" Target="https://meteor-uat.aihw.gov.au/content/290059" TargetMode="External" Id="R7048c20651474a4a" /><Relationship Type="http://schemas.openxmlformats.org/officeDocument/2006/relationships/hyperlink" Target="https://meteor-uat.aihw.gov.au/content/288937" TargetMode="External" Id="R5ede566dae2a4a63" /><Relationship Type="http://schemas.openxmlformats.org/officeDocument/2006/relationships/hyperlink" Target="https://meteor-uat.aihw.gov.au/content/288917" TargetMode="External" Id="R95d36f8c6ef54279" /><Relationship Type="http://schemas.openxmlformats.org/officeDocument/2006/relationships/hyperlink" Target="https://meteor-uat.aihw.gov.au/content/289083" TargetMode="External" Id="Rf68700cc2d7644ac" /><Relationship Type="http://schemas.openxmlformats.org/officeDocument/2006/relationships/hyperlink" Target="https://meteor-uat.aihw.gov.au/content/315122" TargetMode="External" Id="R9bafb7cf3f2448cc" /><Relationship Type="http://schemas.openxmlformats.org/officeDocument/2006/relationships/hyperlink" Target="https://meteor-uat.aihw.gov.au/content/270213" TargetMode="External" Id="R1d0987b586c448e8" /><Relationship Type="http://schemas.openxmlformats.org/officeDocument/2006/relationships/hyperlink" Target="https://meteor-uat.aihw.gov.au/content/323188" TargetMode="External" Id="R6e02678597df4ec6" /><Relationship Type="http://schemas.openxmlformats.org/officeDocument/2006/relationships/hyperlink" Target="https://meteor-uat.aihw.gov.au/content/270376" TargetMode="External" Id="R99920f47f98e4284" /><Relationship Type="http://schemas.openxmlformats.org/officeDocument/2006/relationships/hyperlink" Target="https://meteor-uat.aihw.gov.au/content/270377" TargetMode="External" Id="R4d578b457d044d93" /><Relationship Type="http://schemas.openxmlformats.org/officeDocument/2006/relationships/hyperlink" Target="https://meteor-uat.aihw.gov.au/content/356457" TargetMode="External" Id="R7aab2fae25d74e23" /><Relationship Type="http://schemas.openxmlformats.org/officeDocument/2006/relationships/hyperlink" Target="https://meteor-uat.aihw.gov.au/content/359019" TargetMode="External" Id="R51bb6f358bb44c0e" /></Relationships>
</file>

<file path=word/_rels/header1.xml.rels>&#65279;<?xml version="1.0" encoding="utf-8"?><Relationships xmlns="http://schemas.openxmlformats.org/package/2006/relationships"><Relationship Type="http://schemas.openxmlformats.org/officeDocument/2006/relationships/image" Target="/media/image.png" Id="R5a7b06aa120043bd" /></Relationships>
</file>