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7850a9107642e4" /></Relationships>
</file>

<file path=word/document.xml><?xml version="1.0" encoding="utf-8"?>
<w:document xmlns:r="http://schemas.openxmlformats.org/officeDocument/2006/relationships" xmlns:w="http://schemas.openxmlformats.org/wordprocessingml/2006/main">
  <w:body>
    <w:p>
      <w:pPr>
        <w:pStyle w:val="Title"/>
      </w:pPr>
      <w:r>
        <w:t>Address—complex road suffix, street suffix code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suffix, street suffix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Complex road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Complex road suffix code; Complex street suffix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526714fd724bb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37b074900f84015">
              <w:r>
                <w:rPr>
                  <w:rStyle w:val="Hyperlink"/>
                  <w:color w:val="244061"/>
                </w:rPr>
                <w:t xml:space="preserve">Disability</w:t>
              </w:r>
            </w:hyperlink>
            <w:r>
              <w:rPr>
                <w:rStyle w:val="row-content"/>
                <w:color w:val="244061"/>
              </w:rPr>
              <w:t xml:space="preserve">, Standard 13/08/2015</w:t>
            </w:r>
          </w:p>
          <w:p>
            <w:pPr>
              <w:spacing w:before="0" w:after="0"/>
            </w:pPr>
            <w:hyperlink w:history="true" r:id="R104847b84896445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abbreviation representing the suffix of the road/thoroughfare of an address within a complex,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79a82d64694036">
              <w:r>
                <w:rPr>
                  <w:rStyle w:val="Hyperlink"/>
                </w:rPr>
                <w:t xml:space="preserve">Address—complex road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e4e136f8464d6b">
              <w:r>
                <w:rPr>
                  <w:rStyle w:val="Hyperlink"/>
                </w:rPr>
                <w:t xml:space="preserve">Street suffix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CN</w:t>
            </w:r>
          </w:p>
        </w:tc>
        <w:tc>
          <w:tcPr>
            <w:tcBorders>
              <w:top w:val="none" w:color="000000" w:sz="0"/>
              <w:left w:val="none" w:color="000000" w:sz="0"/>
              <w:bottom w:val="none" w:color="000000" w:sz="0"/>
              <w:right w:val="none" w:color="000000" w:sz="0"/>
            </w:tcBorders>
            <w:vAlign w:val="top"/>
          </w:tcPr>
          <w:p>
            <w:r>
              <w:t xml:space="preserve">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w:t>
            </w:r>
          </w:p>
        </w:tc>
        <w:tc>
          <w:tcPr>
            <w:tcBorders>
              <w:top w:val="none" w:color="000000" w:sz="0"/>
              <w:left w:val="none" w:color="000000" w:sz="0"/>
              <w:bottom w:val="none" w:color="000000" w:sz="0"/>
              <w:right w:val="none" w:color="000000" w:sz="0"/>
            </w:tcBorders>
            <w:vAlign w:val="top"/>
          </w:tcPr>
          <w:p>
            <w:r>
              <w:t xml:space="preserve">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w:t>
            </w:r>
          </w:p>
        </w:tc>
        <w:tc>
          <w:tcPr>
            <w:tcBorders>
              <w:top w:val="none" w:color="000000" w:sz="0"/>
              <w:left w:val="none" w:color="000000" w:sz="0"/>
              <w:bottom w:val="none" w:color="000000" w:sz="0"/>
              <w:right w:val="none" w:color="000000" w:sz="0"/>
            </w:tcBorders>
            <w:vAlign w:val="top"/>
          </w:tcPr>
          <w:p>
            <w:r>
              <w:t xml:space="preserve">Extension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LR</w:t>
            </w:r>
          </w:p>
        </w:tc>
        <w:tc>
          <w:tcPr>
            <w:tcBorders>
              <w:top w:val="none" w:color="000000" w:sz="0"/>
              <w:left w:val="none" w:color="000000" w:sz="0"/>
              <w:bottom w:val="none" w:color="000000" w:sz="0"/>
              <w:right w:val="none" w:color="000000" w:sz="0"/>
            </w:tcBorders>
            <w:vAlign w:val="top"/>
          </w:tcPr>
          <w:p>
            <w:r>
              <w:t xml:space="preserve">Lower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w:t>
            </w:r>
          </w:p>
        </w:tc>
        <w:tc>
          <w:tcPr>
            <w:tcBorders>
              <w:top w:val="none" w:color="000000" w:sz="0"/>
              <w:left w:val="none" w:color="000000" w:sz="0"/>
              <w:bottom w:val="none" w:color="000000" w:sz="0"/>
              <w:right w:val="none" w:color="000000" w:sz="0"/>
            </w:tcBorders>
            <w:vAlign w:val="top"/>
          </w:tcPr>
          <w:p>
            <w:r>
              <w:t xml:space="preserve">North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w:t>
            </w:r>
          </w:p>
        </w:tc>
        <w:tc>
          <w:tcPr>
            <w:tcBorders>
              <w:top w:val="none" w:color="000000" w:sz="0"/>
              <w:left w:val="none" w:color="000000" w:sz="0"/>
              <w:bottom w:val="none" w:color="000000" w:sz="0"/>
              <w:right w:val="none" w:color="000000" w:sz="0"/>
            </w:tcBorders>
            <w:vAlign w:val="top"/>
          </w:tcPr>
          <w:p>
            <w:r>
              <w:t xml:space="preserve">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w:t>
            </w:r>
          </w:p>
        </w:tc>
        <w:tc>
          <w:tcPr>
            <w:tcBorders>
              <w:top w:val="none" w:color="000000" w:sz="0"/>
              <w:left w:val="none" w:color="000000" w:sz="0"/>
              <w:bottom w:val="none" w:color="000000" w:sz="0"/>
              <w:right w:val="none" w:color="000000" w:sz="0"/>
            </w:tcBorders>
            <w:vAlign w:val="top"/>
          </w:tcPr>
          <w:p>
            <w:r>
              <w:t xml:space="preserve">South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w:t>
            </w:r>
          </w:p>
        </w:tc>
        <w:tc>
          <w:tcPr>
            <w:tcBorders>
              <w:top w:val="none" w:color="000000" w:sz="0"/>
              <w:left w:val="none" w:color="000000" w:sz="0"/>
              <w:bottom w:val="none" w:color="000000" w:sz="0"/>
              <w:right w:val="none" w:color="000000" w:sz="0"/>
            </w:tcBorders>
            <w:vAlign w:val="top"/>
          </w:tcPr>
          <w:p>
            <w:r>
              <w:t xml:space="preserve">South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w:t>
            </w:r>
          </w:p>
        </w:tc>
        <w:tc>
          <w:tcPr>
            <w:tcBorders>
              <w:top w:val="none" w:color="000000" w:sz="0"/>
              <w:left w:val="none" w:color="000000" w:sz="0"/>
              <w:bottom w:val="none" w:color="000000" w:sz="0"/>
              <w:right w:val="none" w:color="000000" w:sz="0"/>
            </w:tcBorders>
            <w:vAlign w:val="top"/>
          </w:tcPr>
          <w:p>
            <w:r>
              <w:t xml:space="preserve">Upper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r>
              <w:br/>
            </w:r>
            <w:r>
              <w:t xml:space="preserve"> </w:t>
            </w:r>
          </w:p>
        </w:tc>
        <w:tc>
          <w:tcPr>
            <w:tcBorders>
              <w:top w:val="none" w:color="000000" w:sz="0"/>
              <w:left w:val="none" w:color="000000" w:sz="0"/>
              <w:bottom w:val="none" w:color="000000" w:sz="0"/>
              <w:right w:val="none" w:color="000000" w:sz="0"/>
            </w:tcBorders>
            <w:vAlign w:val="top"/>
          </w:tcPr>
          <w:p>
            <w:r>
              <w:t xml:space="preserve">West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Complex addresses provide for the unique identification of secondary address sites within a larger, primary address site. A complex address requires both parts (secondary and primary) to provide unique definition.</w:t>
            </w:r>
          </w:p>
          <w:p>
            <w:pPr>
              <w:spacing w:after="160"/>
            </w:pPr>
            <w:r>
              <w:rPr>
                <w:rStyle w:val="row-content-rich-text"/>
              </w:rPr>
              <w:t xml:space="preserve">Usage Example:</w:t>
            </w:r>
          </w:p>
          <w:p>
            <w:pPr/>
            <w:r>
              <w:rPr>
                <w:rStyle w:val="row-content-rich-text"/>
              </w:rPr>
              <w:t xml:space="preserve">Biology Building B</w:t>
            </w:r>
            <w:r>
              <w:br/>
            </w:r>
            <w:r>
              <w:rPr>
                <w:rStyle w:val="row-content-rich-text"/>
              </w:rPr>
              <w:t xml:space="preserve">20-24 Genetics Lane North (Complex road suffix code is N)</w:t>
            </w:r>
            <w:r>
              <w:br/>
            </w:r>
            <w:r>
              <w:rPr>
                <w:rStyle w:val="row-content-rich-text"/>
              </w:rPr>
              <w:t xml:space="preserve">Blamey Research Institute</w:t>
            </w:r>
            <w:r>
              <w:br/>
            </w:r>
            <w:r>
              <w:rPr>
                <w:rStyle w:val="row-content-rich-text"/>
              </w:rPr>
              <w:t xml:space="preserve">1-131 Sunshine Rd</w:t>
            </w:r>
            <w:r>
              <w:br/>
            </w:r>
            <w:r>
              <w:rPr>
                <w:rStyle w:val="row-content-rich-text"/>
              </w:rPr>
              <w:t xml:space="preserve">CAIRNS QLD 4870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3d8a82c4564d2c">
              <w:r>
                <w:rPr>
                  <w:rStyle w:val="Hyperlink"/>
                </w:rPr>
                <w:t xml:space="preserve">Person (address)—street suffix, code A[A]</w:t>
              </w:r>
            </w:hyperlink>
          </w:p>
          <w:p>
            <w:pPr>
              <w:pStyle w:val="registration-status"/>
              <w:spacing w:before="0" w:after="0"/>
            </w:pPr>
            <w:hyperlink w:history="true" r:id="R70e195820317439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c6e49d0691a46c0">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311eb504dd0c4e2c">
              <w:r>
                <w:rPr>
                  <w:rStyle w:val="Hyperlink"/>
                </w:rPr>
                <w:t xml:space="preserve">Service provider organisation (address)—street suffix, code A[A]</w:t>
              </w:r>
            </w:hyperlink>
          </w:p>
          <w:p>
            <w:pPr>
              <w:pStyle w:val="registration-status"/>
              <w:spacing w:before="0" w:after="0"/>
            </w:pPr>
            <w:hyperlink w:history="true" r:id="Ra97c564c068a443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822e66398dc484c">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2d6830cd8b45a3">
              <w:r>
                <w:rPr>
                  <w:rStyle w:val="Hyperlink"/>
                </w:rPr>
                <w:t xml:space="preserve">Address components cluster</w:t>
              </w:r>
            </w:hyperlink>
          </w:p>
          <w:p>
            <w:pPr>
              <w:pStyle w:val="registration-status"/>
              <w:spacing w:before="0" w:after="0"/>
            </w:pPr>
            <w:hyperlink w:history="true" r:id="R09651011f02a41b5">
              <w:r>
                <w:rPr>
                  <w:rStyle w:val="Hyperlink"/>
                  <w:color w:val="244061"/>
                </w:rPr>
                <w:t xml:space="preserve">Health!</w:t>
              </w:r>
            </w:hyperlink>
            <w:r>
              <w:rPr>
                <w:rStyle w:val="row-content"/>
                <w:color w:val="244061"/>
              </w:rPr>
              <w:t xml:space="preserve">, Standard 05/10/2016</w:t>
            </w:r>
          </w:p>
          <w:p>
            <w:r>
              <w:br/>
            </w:r>
            <w:hyperlink w:history="true" r:id="R4d6a0fb8cc264168">
              <w:r>
                <w:rPr>
                  <w:rStyle w:val="Hyperlink"/>
                </w:rPr>
                <w:t xml:space="preserve">Address details data dictionary</w:t>
              </w:r>
            </w:hyperlink>
          </w:p>
          <w:p>
            <w:pPr>
              <w:pStyle w:val="registration-status"/>
              <w:spacing w:before="0" w:after="0"/>
            </w:pPr>
            <w:hyperlink w:history="true" r:id="R2139277fcc8b442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a6402ca069d4a91">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d3d2f6cd8a2742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429397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c6d296c32545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d2f6cd8a274209" /><Relationship Type="http://schemas.openxmlformats.org/officeDocument/2006/relationships/header" Target="/word/header1.xml" Id="R424244f6cdbc4d3c" /><Relationship Type="http://schemas.openxmlformats.org/officeDocument/2006/relationships/settings" Target="/word/settings.xml" Id="R7f5c6eaf7ae84ee9" /><Relationship Type="http://schemas.openxmlformats.org/officeDocument/2006/relationships/styles" Target="/word/styles.xml" Id="R577b977e1e404ed9" /><Relationship Type="http://schemas.openxmlformats.org/officeDocument/2006/relationships/hyperlink" Target="https://meteor-uat.aihw.gov.au/RegistrationAuthority/3" TargetMode="External" Id="R4d526714fd724bbe" /><Relationship Type="http://schemas.openxmlformats.org/officeDocument/2006/relationships/hyperlink" Target="https://meteor-uat.aihw.gov.au/RegistrationAuthority/18" TargetMode="External" Id="R137b074900f84015" /><Relationship Type="http://schemas.openxmlformats.org/officeDocument/2006/relationships/hyperlink" Target="https://meteor-uat.aihw.gov.au/RegistrationAuthority/14" TargetMode="External" Id="R104847b848964459" /><Relationship Type="http://schemas.openxmlformats.org/officeDocument/2006/relationships/hyperlink" Target="https://meteor-uat.aihw.gov.au/content/429394" TargetMode="External" Id="Rc579a82d64694036" /><Relationship Type="http://schemas.openxmlformats.org/officeDocument/2006/relationships/hyperlink" Target="https://meteor-uat.aihw.gov.au/content/270616" TargetMode="External" Id="Rb3e4e136f8464d6b" /><Relationship Type="http://schemas.openxmlformats.org/officeDocument/2006/relationships/hyperlink" Target="https://meteor-uat.aihw.gov.au/content/270022" TargetMode="External" Id="Rb13d8a82c4564d2c" /><Relationship Type="http://schemas.openxmlformats.org/officeDocument/2006/relationships/hyperlink" Target="https://meteor-uat.aihw.gov.au/RegistrationAuthority/3" TargetMode="External" Id="R70e1958203174393" /><Relationship Type="http://schemas.openxmlformats.org/officeDocument/2006/relationships/hyperlink" Target="https://meteor-uat.aihw.gov.au/RegistrationAuthority/14" TargetMode="External" Id="R7c6e49d0691a46c0" /><Relationship Type="http://schemas.openxmlformats.org/officeDocument/2006/relationships/hyperlink" Target="https://meteor-uat.aihw.gov.au/content/290170" TargetMode="External" Id="R311eb504dd0c4e2c" /><Relationship Type="http://schemas.openxmlformats.org/officeDocument/2006/relationships/hyperlink" Target="https://meteor-uat.aihw.gov.au/RegistrationAuthority/3" TargetMode="External" Id="Ra97c564c068a443e" /><Relationship Type="http://schemas.openxmlformats.org/officeDocument/2006/relationships/hyperlink" Target="https://meteor-uat.aihw.gov.au/RegistrationAuthority/14" TargetMode="External" Id="Rb822e66398dc484c" /><Relationship Type="http://schemas.openxmlformats.org/officeDocument/2006/relationships/hyperlink" Target="https://meteor-uat.aihw.gov.au/content/611149" TargetMode="External" Id="Re92d6830cd8b45a3" /><Relationship Type="http://schemas.openxmlformats.org/officeDocument/2006/relationships/hyperlink" Target="https://meteor-uat.aihw.gov.au/RegistrationAuthority/14" TargetMode="External" Id="R09651011f02a41b5" /><Relationship Type="http://schemas.openxmlformats.org/officeDocument/2006/relationships/hyperlink" Target="https://meteor-uat.aihw.gov.au/content/434713" TargetMode="External" Id="R4d6a0fb8cc264168" /><Relationship Type="http://schemas.openxmlformats.org/officeDocument/2006/relationships/hyperlink" Target="https://meteor-uat.aihw.gov.au/RegistrationAuthority/3" TargetMode="External" Id="R2139277fcc8b4425" /><Relationship Type="http://schemas.openxmlformats.org/officeDocument/2006/relationships/hyperlink" Target="https://meteor-uat.aihw.gov.au/RegistrationAuthority/18" TargetMode="External" Id="Rba6402ca069d4a91" /></Relationships>
</file>

<file path=word/_rels/header1.xml.rels>&#65279;<?xml version="1.0" encoding="utf-8"?><Relationships xmlns="http://schemas.openxmlformats.org/package/2006/relationships"><Relationship Type="http://schemas.openxmlformats.org/officeDocument/2006/relationships/image" Target="/media/image.png" Id="Rc4c6d296c325456d" /></Relationships>
</file>