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27e6a6da3145bc" /></Relationships>
</file>

<file path=word/document.xml><?xml version="1.0" encoding="utf-8"?>
<w:document xmlns:r="http://schemas.openxmlformats.org/officeDocument/2006/relationships" xmlns:w="http://schemas.openxmlformats.org/wordprocessingml/2006/main">
  <w:body>
    <w:p>
      <w:pPr>
        <w:pStyle w:val="Title"/>
      </w:pPr>
      <w:r>
        <w:t>Disability Services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5b63dbfb347a6">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services, and to obtain reliable, consistent data with minimal load on the disability services field. Under the National Disability Agreement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service type outlet did not receive NDA funding for the 2009–10 collection (i.e. its NDA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1950" w:type="pct"/>
                  <w:vAlign w:val="top"/>
                </w:tcPr>
                <w:p>
                  <w:pPr/>
                  <w:r>
                    <w:rPr>
                      <w:rStyle w:val="row-content-rich-text"/>
                      <w:b/>
                    </w:rPr>
                    <w:t xml:space="preserve">Service type classification</w:t>
                  </w:r>
                </w:p>
              </w:tc>
              <w:tc>
                <w:tcPr>
                  <w:tcW w:w="500" w:type="pct"/>
                  <w:vAlign w:val="top"/>
                </w:tcPr>
                <w:p>
                  <w:r>
                    <w:rPr>
                      <w:b/>
                    </w:rPr>
                    <w:t xml:space="preserve">Service type outlet –details required (except for those provided by the jurisdiction)</w:t>
                  </w:r>
                </w:p>
              </w:tc>
              <w:tc>
                <w:tcPr>
                  <w:tcW w:w="800" w:type="pct"/>
                  <w:vAlign w:val="top"/>
                </w:tcPr>
                <w:p>
                  <w:r>
                    <w:rPr>
                      <w:b/>
                    </w:rPr>
                    <w:t xml:space="preserve">Service user – details required</w:t>
                  </w:r>
                </w:p>
              </w:tc>
              <w:tc>
                <w:tcPr>
                  <w:tcW w:w="1600" w:type="pct"/>
                  <w:gridSpan w:val="2"/>
                  <w:vAlign w:val="top"/>
                </w:tcPr>
                <w:p>
                  <w:r>
                    <w:rPr>
                      <w:b/>
                    </w:rPr>
                    <w:t xml:space="preserve">Services received by each service user in the reporting period – details required</w:t>
                  </w:r>
                </w:p>
              </w:tc>
            </w:tr>
            <w:tr>
              <w:trPr/>
              <w:tc>
                <w:tcPr>
                  <w:tcW w:w="1950" w:type="pct"/>
                  <w:vAlign w:val="top"/>
                </w:tcPr>
                <w:p>
                  <w:r>
                    <w:rPr>
                      <w:b/>
                    </w:rPr>
                    <w:t xml:space="preserve">Accommodation support</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1.01 Large residential/institution (&gt;20 people) –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1.02 Small residential/institution(7–20 people) –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1.03 Hostels – generally not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1.04 Group homes (&lt; 7 people)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1.05 Attendant care/personal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1.06 In-home accommodation support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1.07 Alternative family placement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1.08 Other accommodation support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rPr>
                      <w:b/>
                    </w:rPr>
                    <w:t xml:space="preserve">Community support</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2.01 Therapy support for individuals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2.02 Early childhood intervention</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2.03 Behaviour/specialist intervention</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2.04 Counselling (individual/family/group)</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2.05 Regional resource and support teams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2.06 Case management, local coordination and development</w:t>
                  </w:r>
                </w:p>
              </w:tc>
              <w:tc>
                <w:tcPr>
                  <w:tcW w:w="500" w:type="pct"/>
                  <w:vAlign w:val="top"/>
                </w:tcPr>
                <w:p>
                  <w:r>
                    <w:t xml:space="preserve">All</w:t>
                  </w:r>
                </w:p>
              </w:tc>
              <w:tc>
                <w:tcPr>
                  <w:tcW w:w="800" w:type="pct"/>
                  <w:vAlign w:val="top"/>
                </w:tcPr>
                <w:p>
                  <w:r>
                    <w:t xml:space="preserve">All (except for community development activity within this service type)</w:t>
                  </w:r>
                </w:p>
              </w:tc>
              <w:tc>
                <w:tcPr>
                  <w:tcW w:w="1600" w:type="pct"/>
                  <w:gridSpan w:val="2"/>
                  <w:vAlign w:val="top"/>
                </w:tcPr>
                <w:p>
                  <w:r>
                    <w:t xml:space="preserve">All (except for community development activity within this service type)</w:t>
                  </w:r>
                </w:p>
              </w:tc>
            </w:tr>
            <w:tr>
              <w:trPr/>
              <w:tc>
                <w:tcPr>
                  <w:tcW w:w="1950" w:type="pct"/>
                  <w:vAlign w:val="top"/>
                </w:tcPr>
                <w:p>
                  <w:r>
                    <w:t xml:space="preserve">2.07 Other community support</w:t>
                  </w:r>
                </w:p>
              </w:tc>
              <w:tc>
                <w:tcPr>
                  <w:tcW w:w="500" w:type="pct"/>
                  <w:vAlign w:val="top"/>
                </w:tcPr>
                <w:p>
                  <w:r>
                    <w:t xml:space="preserve">All</w:t>
                  </w:r>
                </w:p>
              </w:tc>
              <w:tc>
                <w:tcPr>
                  <w:tcW w:w="800" w:type="pct"/>
                  <w:vAlign w:val="top"/>
                </w:tcPr>
                <w:p>
                  <w:r>
                    <w:t xml:space="preserve">All (except for community development activity within this service type)</w:t>
                  </w:r>
                </w:p>
              </w:tc>
              <w:tc>
                <w:tcPr>
                  <w:tcW w:w="1600" w:type="pct"/>
                  <w:gridSpan w:val="2"/>
                  <w:vAlign w:val="top"/>
                </w:tcPr>
                <w:p>
                  <w:r>
                    <w:t xml:space="preserve">All (except for data items on hours received – items 17e–f)</w:t>
                  </w:r>
                </w:p>
              </w:tc>
            </w:tr>
            <w:tr>
              <w:trPr/>
              <w:tc>
                <w:tcPr>
                  <w:tcW w:w="1950" w:type="pct"/>
                  <w:vAlign w:val="top"/>
                </w:tcPr>
                <w:p>
                  <w:r>
                    <w:rPr>
                      <w:b/>
                    </w:rPr>
                    <w:t xml:space="preserve">Community access</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3.01 Learning and life skills development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3.02 Recreation/holiday programs</w:t>
                  </w:r>
                  <w:r>
                    <w:rPr>
                      <w:vertAlign w:val="superscript"/>
                    </w:rPr>
                    <w:t xml:space="preserve">(a)</w:t>
                  </w:r>
                </w:p>
              </w:tc>
              <w:tc>
                <w:tcPr>
                  <w:tcW w:w="500" w:type="pct"/>
                  <w:vAlign w:val="top"/>
                </w:tcPr>
                <w:p>
                  <w:r>
                    <w:t xml:space="preserve">All</w:t>
                  </w:r>
                </w:p>
              </w:tc>
              <w:tc>
                <w:tcPr>
                  <w:tcW w:w="800" w:type="pct"/>
                  <w:vAlign w:val="top"/>
                </w:tcPr>
                <w:p>
                  <w:r>
                    <w:t xml:space="preserve">Linkage key elements only (items 2a–2e)</w:t>
                  </w:r>
                </w:p>
              </w:tc>
              <w:tc>
                <w:tcPr>
                  <w:tcW w:w="1600" w:type="pct"/>
                  <w:gridSpan w:val="2"/>
                  <w:vAlign w:val="top"/>
                </w:tcPr>
                <w:p>
                  <w:r>
                    <w:t xml:space="preserve">Items 17a–17b (service start date and date service last received)</w:t>
                  </w:r>
                </w:p>
              </w:tc>
            </w:tr>
            <w:tr>
              <w:trPr/>
              <w:tc>
                <w:tcPr>
                  <w:tcW w:w="1950" w:type="pct"/>
                  <w:vAlign w:val="top"/>
                </w:tcPr>
                <w:p>
                  <w:r>
                    <w:t xml:space="preserve">3.03 Other community access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rPr>
                      <w:b/>
                    </w:rPr>
                    <w:t xml:space="preserve">Respite</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4.05 Other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Respite</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4.01 Own home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4.02 Centre-based respite/respite homes</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4.03 Host family respite/peer support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4.04 Flexible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4.05 Other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rPr>
                      <w:b/>
                    </w:rPr>
                    <w:t xml:space="preserve">Employment</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5.01 Open employment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5.02 Supported employment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5.04 Targeted support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rPr>
                      <w:b/>
                    </w:rPr>
                    <w:t xml:space="preserve">Advocacy, information and alternative forms of communication</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6.01 Advocacy</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6.02 Information/referral</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6.03 Combined information/advocacy</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6.04 Mutual support/self-help groups</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6.05 Alternative formats of communication</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rPr>
                      <w:b/>
                    </w:rPr>
                    <w:t xml:space="preserve">Other support</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7.01 Research and evaluation</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7.02 Training and development</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7.03 Peak bodies</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7.04 Other support services</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bl>
          <w:p>
            <w:r>
              <w:t xml:space="preserve"> </w:t>
            </w:r>
          </w:p>
          <w:p>
            <w:r>
              <w:t xml:space="preserve"> </w:t>
            </w:r>
          </w:p>
          <w:p>
            <w:r>
              <w:rPr>
                <w:b/>
              </w:rPr>
              <w:t xml:space="preserve">(a) Some jurisdictions require the collection of other service user/services received data items for this service type in addition to those listed here.</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Disability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Privacy:</w:t>
            </w:r>
          </w:p>
          <w:p>
            <w:r>
              <w:t xml:space="preserve">DS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2b3dc29de14c2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9f2111912044566">
              <w:r>
                <w:rPr>
                  <w:rStyle w:val="Hyperlink"/>
                </w:rPr>
                <w:t xml:space="preserve">Disability Services National Minimum Data Set (DS NMDS) collection.</w:t>
              </w:r>
            </w:hyperlink>
            <w:hyperlink w:history="true" r:id="R0c474dbafa3840ea">
              <w:r>
                <w:rPr>
                  <w:rStyle w:val="Hyperlink"/>
                </w:rPr>
                <w:t xml:space="preserve">Data Guide: data items and definitions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3288ae0fb84641">
              <w:r>
                <w:rPr>
                  <w:rStyle w:val="Hyperlink"/>
                </w:rPr>
                <w:t xml:space="preserve">Disability Services NMDS 2009-10</w:t>
              </w:r>
            </w:hyperlink>
          </w:p>
          <w:p>
            <w:pPr>
              <w:pStyle w:val="registration-status"/>
              <w:spacing w:before="0" w:after="0"/>
            </w:pPr>
            <w:hyperlink w:history="true" r:id="Rf4ab68ef68194a90">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98b45abdb9d14404">
              <w:r>
                <w:rPr>
                  <w:rStyle w:val="Hyperlink"/>
                </w:rPr>
                <w:t xml:space="preserve">Disability Services NMDS 2011-12</w:t>
              </w:r>
            </w:hyperlink>
          </w:p>
          <w:p>
            <w:pPr>
              <w:pStyle w:val="registration-status"/>
              <w:spacing w:before="0" w:after="0"/>
            </w:pPr>
            <w:hyperlink w:history="true" r:id="R938b6211ca4b4cdd">
              <w:r>
                <w:rPr>
                  <w:rStyle w:val="Hyperlink"/>
                  <w:color w:val="244061"/>
                </w:rPr>
                <w:t xml:space="preserve">Community Services (retired)</w:t>
              </w:r>
            </w:hyperlink>
            <w:r>
              <w:rPr>
                <w:rStyle w:val="row-content"/>
                <w:color w:val="244061"/>
              </w:rPr>
              <w:t xml:space="preserve">, Superseded 13/03/2013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8a71c765041b4">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DS NMDS.</w:t>
                  </w:r>
                </w:p>
                <w:p>
                  <w:r>
                    <w:t xml:space="preserve">1. The number of hours of support received by a service user for a service type for the week preceding the end of the reporting period (the 7-day </w:t>
                  </w:r>
                  <w:r>
                    <w:rPr>
                      <w:b/>
                    </w:rPr>
                    <w:t xml:space="preserve">reference</w:t>
                  </w:r>
                  <w:r>
                    <w:t xml:space="preserve"> week);and</w:t>
                  </w:r>
                </w:p>
                <w:p>
                  <w:r>
                    <w:t xml:space="preserve">2. The number of hours of support received by a service user for a service type for a </w:t>
                  </w:r>
                  <w:r>
                    <w:rPr>
                      <w:b/>
                    </w:rPr>
                    <w:t xml:space="preserve">typical</w:t>
                  </w:r>
                  <w:r>
                    <w:t xml:space="preserve"> 7-day week.</w:t>
                  </w:r>
                </w:p>
                <w:p>
                  <w:r>
                    <w:t xml:space="preserve">The total hours reported should be rounded up to the nearest whole hour.</w:t>
                  </w:r>
                </w:p>
                <w:p>
                  <w:r>
                    <w:t xml:space="preserve">Where less than one hour was received, agencies may record ‘900’.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Hours of assistance:</w:t>
                  </w:r>
                </w:p>
                <w:p>
                  <w: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29dadf15a4c5c">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38a6d0aa548c5">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43326d17d4976">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service users that have a carer (Person—Informal carer existence indicator, code N = 1).</w:t>
                  </w:r>
                  <w:r>
                    <w:br/>
                  </w:r>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e9d943ab840a7">
                    <w:r>
                      <w:rPr>
                        <w:rStyle w:val="Hyperlink"/>
                      </w:rPr>
                      <w:t xml:space="preserve">Informal carer—relationship to care recipient,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ee0bfe2b04dd3">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6610c1f5b4aab">
                    <w:r>
                      <w:rPr>
                        <w:rStyle w:val="Hyperlink"/>
                      </w:rPr>
                      <w:t xml:space="preserve">Person (address)—Australian postcode, code (Postcode datafile) {NNNN}</w:t>
                    </w:r>
                  </w:hyperlink>
                </w:p>
                <w:p>
                  <w:r>
                    <w:rPr>
                      <w:b/>
                      <w:i/>
                      <w:color w:val="333333"/>
                    </w:rPr>
                    <w:t xml:space="preserve">DSS specific information:</w:t>
                  </w:r>
                </w:p>
                <w:p>
                  <w:r>
                    <w:t xml:space="preserve">In the DS NMDS, this data element refers to the postcode of a service user's usual residence ('usual' means 4 or more days per week on average).</w:t>
                  </w:r>
                </w:p>
                <w:p>
                  <w:r>
                    <w:t xml:space="preserve">This data element is used in NDA to capture the postcode of the 'geographic location' of a person, not their postal address postcode. The DS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84e2d09834d46">
                    <w:r>
                      <w:rPr>
                        <w:rStyle w:val="Hyperlink"/>
                      </w:rPr>
                      <w:t xml:space="preserve">Person (with a disability)—disability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ce322321d4954">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NDA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bf7284b264c5d">
                    <w:r>
                      <w:rPr>
                        <w:rStyle w:val="Hyperlink"/>
                      </w:rPr>
                      <w:t xml:space="preserve">Person—age group,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762d3259242b9">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8c0a06506426f">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03f430e0547f8">
                    <w:r>
                      <w:rPr>
                        <w:rStyle w:val="Hyperlink"/>
                      </w:rPr>
                      <w:t xml:space="preserve">Person—date of birth, DDMMYYYY</w:t>
                    </w:r>
                  </w:hyperlink>
                </w:p>
                <w:p>
                  <w:r>
                    <w:rPr>
                      <w:b/>
                      <w:i/>
                      <w:color w:val="333333"/>
                    </w:rPr>
                    <w:t xml:space="preserve">DSS specific information:</w:t>
                  </w:r>
                </w:p>
                <w:p>
                  <w: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b2149e6e94312">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da011299f408e">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cb3e19dc5450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b3528133447a7">
                    <w:r>
                      <w:rPr>
                        <w:rStyle w:val="Hyperlink"/>
                      </w:rPr>
                      <w:t xml:space="preserve">Person—informal carer existence indicator, code N</w:t>
                    </w:r>
                  </w:hyperlink>
                </w:p>
                <w:p>
                  <w:r>
                    <w:rPr>
                      <w:b/>
                      <w:i/>
                      <w:color w:val="333333"/>
                    </w:rPr>
                    <w:t xml:space="preserve">DSS specific information:</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dafc639254acc">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3124e9f004547">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31d9ed55a4a73">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1e053e9984e4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1fa67537804555">
                    <w:r>
                      <w:rPr>
                        <w:rStyle w:val="Hyperlink"/>
                      </w:rPr>
                      <w:t xml:space="preserve">Person—living arrangement, code N</w:t>
                    </w:r>
                  </w:hyperlink>
                </w:p>
                <w:p>
                  <w:r>
                    <w:rPr>
                      <w:b/>
                      <w:i/>
                      <w:color w:val="333333"/>
                    </w:rPr>
                    <w:t xml:space="preserve">DSS specific information:</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aad1f0daa461e">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653b1d2bf4a04">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e9f3fb8d94ae6">
                    <w:r>
                      <w:rPr>
                        <w:rStyle w:val="Hyperlink"/>
                      </w:rPr>
                      <w:t xml:space="preserve">Person—service received indicator, code N</w:t>
                    </w:r>
                  </w:hyperlink>
                </w:p>
                <w:p>
                  <w:r>
                    <w:rPr>
                      <w:b/>
                      <w:i/>
                      <w:color w:val="333333"/>
                    </w:rPr>
                    <w:t xml:space="preserve">DSS specific information:</w:t>
                  </w:r>
                </w:p>
                <w:p>
                  <w:r>
                    <w:t xml:space="preserve">In the DS NMDS, this data element refers to whether or not the person received the NDA-funded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bb097287b4f78">
                    <w:r>
                      <w:rPr>
                        <w:rStyle w:val="Hyperlink"/>
                      </w:rPr>
                      <w:t xml:space="preserve">Person—sex, code N</w:t>
                    </w:r>
                  </w:hyperlink>
                </w:p>
                <w:p>
                  <w:r>
                    <w:rPr>
                      <w:b/>
                      <w:i/>
                      <w:color w:val="333333"/>
                    </w:rPr>
                    <w:t xml:space="preserve">DSS specific information:</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df078507645e5">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f81379f824ea6">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1b3907a034d49">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2d25c505f47fa">
                    <w:r>
                      <w:rPr>
                        <w:rStyle w:val="Hyperlink"/>
                      </w:rPr>
                      <w:t xml:space="preserve">Service episode—episode end date, DDMMYYYY</w:t>
                    </w:r>
                  </w:hyperlink>
                </w:p>
                <w:p>
                  <w:r>
                    <w:rPr>
                      <w:b/>
                      <w:i/>
                      <w:color w:val="333333"/>
                    </w:rPr>
                    <w:t xml:space="preserve">DSS specific information:</w:t>
                  </w:r>
                </w:p>
                <w:p>
                  <w:r>
                    <w:t xml:space="preserve">This data element should only be reported for NDA service users who have ceased receiving NDA-funded services from the service type outlet.</w:t>
                  </w:r>
                </w:p>
                <w:p>
                  <w:r>
                    <w:t xml:space="preserve">A service user is considered to leave a service when either:</w:t>
                  </w:r>
                </w:p>
                <w:p>
                  <w:pPr>
                    <w:pStyle w:val="ListParagraph"/>
                    <w:numPr>
                      <w:ilvl w:val="0"/>
                      <w:numId w:val="4"/>
                    </w:numPr>
                  </w:pPr>
                  <w:r>
                    <w:t xml:space="preserve">the service user ends the support relationship with the service outlet; or</w:t>
                  </w:r>
                </w:p>
                <w:p>
                  <w:pPr>
                    <w:pStyle w:val="ListParagraph"/>
                    <w:numPr>
                      <w:ilvl w:val="0"/>
                      <w:numId w:val="4"/>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54c2b47ca47ce">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5"/>
                    </w:numPr>
                  </w:pPr>
                  <w:r>
                    <w:t xml:space="preserve">their known service start date, for example, a service user starting on 2 September 2002 may be recorded as 02092002;</w:t>
                  </w:r>
                </w:p>
                <w:p>
                  <w:pPr>
                    <w:pStyle w:val="ListParagraph"/>
                    <w:numPr>
                      <w:ilvl w:val="0"/>
                      <w:numId w:val="5"/>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7ec65475f4989">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6d2302f4b4212">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ebb1a00874643">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DS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3744e950045c2">
                    <w:r>
                      <w:rPr>
                        <w:rStyle w:val="Hyperlink"/>
                      </w:rPr>
                      <w:t xml:space="preserve">Service provider organisation—Australian state/territory identifier, code N</w:t>
                    </w:r>
                  </w:hyperlink>
                </w:p>
                <w:p>
                  <w:r>
                    <w:rPr>
                      <w:b/>
                      <w:i/>
                      <w:color w:val="333333"/>
                    </w:rPr>
                    <w:t xml:space="preserve">DSS specific information:</w:t>
                  </w:r>
                </w:p>
                <w:p>
                  <w:r>
                    <w:t xml:space="preserve">The DS NMDS uses the AIHW order based on the population of the State or Territory.</w:t>
                  </w:r>
                </w:p>
                <w:p>
                  <w:pPr>
                    <w:pStyle w:val="ListParagraph"/>
                    <w:numPr>
                      <w:ilvl w:val="0"/>
                      <w:numId w:val="6"/>
                    </w:numPr>
                  </w:pPr>
                  <w:r>
                    <w:t xml:space="preserve">New South Wales</w:t>
                  </w:r>
                </w:p>
                <w:p>
                  <w:pPr>
                    <w:pStyle w:val="ListParagraph"/>
                    <w:numPr>
                      <w:ilvl w:val="0"/>
                      <w:numId w:val="6"/>
                    </w:numPr>
                  </w:pPr>
                  <w:r>
                    <w:t xml:space="preserve">Victoria</w:t>
                  </w:r>
                </w:p>
                <w:p>
                  <w:pPr>
                    <w:pStyle w:val="ListParagraph"/>
                    <w:numPr>
                      <w:ilvl w:val="0"/>
                      <w:numId w:val="6"/>
                    </w:numPr>
                  </w:pPr>
                  <w:r>
                    <w:t xml:space="preserve">Queensland</w:t>
                  </w:r>
                </w:p>
                <w:p>
                  <w:pPr>
                    <w:pStyle w:val="ListParagraph"/>
                    <w:numPr>
                      <w:ilvl w:val="0"/>
                      <w:numId w:val="6"/>
                    </w:numPr>
                  </w:pPr>
                  <w:r>
                    <w:t xml:space="preserve">Western Australia</w:t>
                  </w:r>
                </w:p>
                <w:p>
                  <w:pPr>
                    <w:pStyle w:val="ListParagraph"/>
                    <w:numPr>
                      <w:ilvl w:val="0"/>
                      <w:numId w:val="6"/>
                    </w:numPr>
                  </w:pPr>
                  <w:r>
                    <w:t xml:space="preserve">South Australia</w:t>
                  </w:r>
                </w:p>
                <w:p>
                  <w:pPr>
                    <w:pStyle w:val="ListParagraph"/>
                    <w:numPr>
                      <w:ilvl w:val="0"/>
                      <w:numId w:val="6"/>
                    </w:numPr>
                  </w:pPr>
                  <w:r>
                    <w:t xml:space="preserve">Tasmania</w:t>
                  </w:r>
                </w:p>
                <w:p>
                  <w:pPr>
                    <w:pStyle w:val="ListParagraph"/>
                    <w:numPr>
                      <w:ilvl w:val="0"/>
                      <w:numId w:val="6"/>
                    </w:numPr>
                  </w:pPr>
                  <w:r>
                    <w:t xml:space="preserve">Australian Capital Territory</w:t>
                  </w:r>
                </w:p>
                <w:p>
                  <w:pPr>
                    <w:pStyle w:val="ListParagraph"/>
                    <w:numPr>
                      <w:ilvl w:val="0"/>
                      <w:numId w:val="6"/>
                    </w:numPr>
                  </w:pPr>
                  <w:r>
                    <w:t xml:space="preserve">Northern Territory</w:t>
                  </w:r>
                </w:p>
                <w:p>
                  <w:r>
                    <w:t xml:space="preserve">Code 9 Other territories (Cocos (Keeling) Islands, Christmas Island and Jervis Bay Territory) is not applicable to NDA-funded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cdeddbb0c4c3d">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d158413334b88">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NDA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05d291734470a">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NDA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3ce9e40e14f81">
                    <w:r>
                      <w:rPr>
                        <w:rStyle w:val="Hyperlink"/>
                      </w:rPr>
                      <w:t xml:space="preserve">Service provider organisation—geographic location (SLA), code (ASGC 2009)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aaf36f6b246cc">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t xml:space="preserve">These rules are designed to avoid double counting and duplication of effort by funded agencies.</w:t>
                  </w:r>
                </w:p>
                <w:p>
                  <w:r>
                    <w:rPr>
                      <w:b/>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t xml:space="preserve">The following should be excluded from paid staff hours worked:</w:t>
                  </w:r>
                </w:p>
                <w:p>
                  <w: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b/>
                    </w:rPr>
                    <w:t xml:space="preserve">Typical week: Collection method</w:t>
                  </w:r>
                </w:p>
                <w:p>
                  <w:r>
                    <w:t xml:space="preserve">As above but include: Staff hours for workers on leave (including public holidays, paid/unpaid sick leave). This data element relates to staff hours paid for).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dbc4dbafe4d30">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t xml:space="preserve">The following should be excluded from volunteer/unpaid staff hours worked:</w:t>
                  </w:r>
                </w:p>
                <w:p>
                  <w:r>
                    <w:t xml:space="preserve">Staff hours for workers on leave (including public holidays). Staff hours normally worked in positions that are currently vacant.</w:t>
                  </w:r>
                </w:p>
                <w:p>
                  <w:r>
                    <w:rPr>
                      <w:b/>
                    </w:rPr>
                    <w:t xml:space="preserve">Typical week: Collection methods</w:t>
                  </w:r>
                </w:p>
                <w:p>
                  <w:r>
                    <w:t xml:space="preserve">As above but include: Staff hours for workers on leave (including public holidays).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11532884a44e0">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rPr>
                      <w:b/>
                    </w:rPr>
                    <w:t xml:space="preserve">Information specific to this data set:</w:t>
                  </w:r>
                </w:p>
                <w:p>
                  <w:r>
                    <w:t xml:space="preserve">This data element should be reported by funding departments in relation to all non-government service type outlets.</w:t>
                  </w:r>
                </w:p>
                <w:p>
                  <w:r>
                    <w:t xml:space="preserve">Where a </w:t>
                  </w:r>
                  <w:r>
                    <w:rPr>
                      <w:b/>
                    </w:rPr>
                    <w:t xml:space="preserve">service type outlet </w:t>
                  </w:r>
                  <w:r>
                    <w:t xml:space="preserve">has a formal relationship with a </w:t>
                  </w:r>
                  <w:r>
                    <w:rPr>
                      <w:b/>
                    </w:rPr>
                    <w:t xml:space="preserve">NDA funded agency </w:t>
                  </w:r>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dcdb41e2041e8">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NDA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a3ac8279b4122">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refers to the number of service users receiving NDA-funded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fee2c99c64215">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1923935734308">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5a1615c284e03">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2bb9d061a42e9">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48356203b4ece">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60b41296e4da6">
                    <w:r>
                      <w:rPr>
                        <w:rStyle w:val="Hyperlink"/>
                      </w:rPr>
                      <w:t xml:space="preserve">Service provider organisation—sector, code N</w:t>
                    </w:r>
                  </w:hyperlink>
                </w:p>
                <w:p>
                  <w:r>
                    <w:rPr>
                      <w:b/>
                      <w:i/>
                      <w:color w:val="333333"/>
                    </w:rPr>
                    <w:t xml:space="preserve">DSS specific information:</w:t>
                  </w:r>
                </w:p>
                <w:p>
                  <w:r>
                    <w:t xml:space="preserve">This item is used in the DS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99b413eff44dc">
                    <w:r>
                      <w:rPr>
                        <w:rStyle w:val="Hyperlink"/>
                      </w:rPr>
                      <w:t xml:space="preserve">Service provider organisation—service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1fb7acbcbd6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1ac692f37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b7acbcbd644e4" /><Relationship Type="http://schemas.openxmlformats.org/officeDocument/2006/relationships/header" Target="/word/header1.xml" Id="Reaf7d5c71a9d4633" /><Relationship Type="http://schemas.openxmlformats.org/officeDocument/2006/relationships/settings" Target="/word/settings.xml" Id="Rcc42286c52984c7c" /><Relationship Type="http://schemas.openxmlformats.org/officeDocument/2006/relationships/styles" Target="/word/styles.xml" Id="Rdb2c011a48674d55" /><Relationship Type="http://schemas.openxmlformats.org/officeDocument/2006/relationships/numbering" Target="/word/numbering.xml" Id="Re164991131dc4ede" /><Relationship Type="http://schemas.openxmlformats.org/officeDocument/2006/relationships/hyperlink" Target="https://meteor-uat.aihw.gov.au/RegistrationAuthority/3" TargetMode="External" Id="Rf075b63dbfb347a6" /><Relationship Type="http://schemas.openxmlformats.org/officeDocument/2006/relationships/hyperlink" Target="https://meteor-uat.aihw.gov.au/content/367581" TargetMode="External" Id="Re82b3dc29de14c23" /><Relationship Type="http://schemas.openxmlformats.org/officeDocument/2006/relationships/hyperlink" Target="http://www.aihw.gov.au/disability-services-nmds-collection/#guide" TargetMode="External" Id="R79f2111912044566" /><Relationship Type="http://schemas.openxmlformats.org/officeDocument/2006/relationships/hyperlink" Target="http://www.aihw.gov.au/disability-services-nmds-collection/#guide" TargetMode="External" Id="R0c474dbafa3840ea" /><Relationship Type="http://schemas.openxmlformats.org/officeDocument/2006/relationships/hyperlink" Target="https://meteor-uat.aihw.gov.au/content/386485" TargetMode="External" Id="R7f3288ae0fb84641" /><Relationship Type="http://schemas.openxmlformats.org/officeDocument/2006/relationships/hyperlink" Target="https://meteor-uat.aihw.gov.au/RegistrationAuthority/3" TargetMode="External" Id="Rf4ab68ef68194a90" /><Relationship Type="http://schemas.openxmlformats.org/officeDocument/2006/relationships/hyperlink" Target="https://meteor-uat.aihw.gov.au/content/461636" TargetMode="External" Id="R98b45abdb9d14404" /><Relationship Type="http://schemas.openxmlformats.org/officeDocument/2006/relationships/hyperlink" Target="https://meteor-uat.aihw.gov.au/RegistrationAuthority/3" TargetMode="External" Id="R938b6211ca4b4cdd" /><Relationship Type="http://schemas.openxmlformats.org/officeDocument/2006/relationships/hyperlink" Target="https://meteor-uat.aihw.gov.au/content/323093" TargetMode="External" Id="R3e58a71c765041b4" /><Relationship Type="http://schemas.openxmlformats.org/officeDocument/2006/relationships/hyperlink" Target="https://meteor-uat.aihw.gov.au/content/329314" TargetMode="External" Id="R3ed29dadf15a4c5c" /><Relationship Type="http://schemas.openxmlformats.org/officeDocument/2006/relationships/hyperlink" Target="https://meteor-uat.aihw.gov.au/content/270167" TargetMode="External" Id="Rfbb38a6d0aa548c5" /><Relationship Type="http://schemas.openxmlformats.org/officeDocument/2006/relationships/hyperlink" Target="https://meteor-uat.aihw.gov.au/content/323760" TargetMode="External" Id="R1a043326d17d4976" /><Relationship Type="http://schemas.openxmlformats.org/officeDocument/2006/relationships/hyperlink" Target="https://meteor-uat.aihw.gov.au/content/376502" TargetMode="External" Id="R99ee9d943ab840a7" /><Relationship Type="http://schemas.openxmlformats.org/officeDocument/2006/relationships/hyperlink" Target="https://meteor-uat.aihw.gov.au/content/323286" TargetMode="External" Id="R57bee0bfe2b04dd3" /><Relationship Type="http://schemas.openxmlformats.org/officeDocument/2006/relationships/hyperlink" Target="https://meteor-uat.aihw.gov.au/content/287224" TargetMode="External" Id="Rd416610c1f5b4aab" /><Relationship Type="http://schemas.openxmlformats.org/officeDocument/2006/relationships/hyperlink" Target="https://meteor-uat.aihw.gov.au/content/386421" TargetMode="External" Id="Rbed84e2d09834d46" /><Relationship Type="http://schemas.openxmlformats.org/officeDocument/2006/relationships/hyperlink" Target="https://meteor-uat.aihw.gov.au/content/320125" TargetMode="External" Id="Rae9ce322321d4954" /><Relationship Type="http://schemas.openxmlformats.org/officeDocument/2006/relationships/hyperlink" Target="https://meteor-uat.aihw.gov.au/content/386423" TargetMode="External" Id="R1c9bf7284b264c5d" /><Relationship Type="http://schemas.openxmlformats.org/officeDocument/2006/relationships/hyperlink" Target="https://meteor-uat.aihw.gov.au/content/345093" TargetMode="External" Id="R0b9762d3259242b9" /><Relationship Type="http://schemas.openxmlformats.org/officeDocument/2006/relationships/hyperlink" Target="https://meteor-uat.aihw.gov.au/content/370943" TargetMode="External" Id="R2128c0a06506426f" /><Relationship Type="http://schemas.openxmlformats.org/officeDocument/2006/relationships/hyperlink" Target="https://meteor-uat.aihw.gov.au/content/287007" TargetMode="External" Id="R7e803f430e0547f8" /><Relationship Type="http://schemas.openxmlformats.org/officeDocument/2006/relationships/hyperlink" Target="https://meteor-uat.aihw.gov.au/content/345049" TargetMode="External" Id="R8b5b2149e6e94312" /><Relationship Type="http://schemas.openxmlformats.org/officeDocument/2006/relationships/hyperlink" Target="https://meteor-uat.aihw.gov.au/content/323170" TargetMode="External" Id="R0a3da011299f408e" /><Relationship Type="http://schemas.openxmlformats.org/officeDocument/2006/relationships/hyperlink" Target="https://meteor-uat.aihw.gov.au/content/291036" TargetMode="External" Id="R890cb3e19dc54509" /><Relationship Type="http://schemas.openxmlformats.org/officeDocument/2006/relationships/hyperlink" Target="https://meteor-uat.aihw.gov.au/content/320939" TargetMode="External" Id="Rad2b3528133447a7" /><Relationship Type="http://schemas.openxmlformats.org/officeDocument/2006/relationships/hyperlink" Target="https://meteor-uat.aihw.gov.au/content/304294" TargetMode="External" Id="Ra37dafc639254acc" /><Relationship Type="http://schemas.openxmlformats.org/officeDocument/2006/relationships/hyperlink" Target="https://meteor-uat.aihw.gov.au/content/270112" TargetMode="External" Id="Ree93124e9f004547" /><Relationship Type="http://schemas.openxmlformats.org/officeDocument/2006/relationships/hyperlink" Target="https://meteor-uat.aihw.gov.au/content/349481" TargetMode="External" Id="R3d731d9ed55a4a73" /><Relationship Type="http://schemas.openxmlformats.org/officeDocument/2006/relationships/hyperlink" Target="https://meteor-uat.aihw.gov.au/content/349483" TargetMode="External" Id="Rfd51e053e9984e4d" /><Relationship Type="http://schemas.openxmlformats.org/officeDocument/2006/relationships/hyperlink" Target="https://meteor-uat.aihw.gov.au/content/270385" TargetMode="External" Id="R5a1fa67537804555" /><Relationship Type="http://schemas.openxmlformats.org/officeDocument/2006/relationships/hyperlink" Target="https://meteor-uat.aihw.gov.au/content/386443" TargetMode="External" Id="R21eaad1f0daa461e" /><Relationship Type="http://schemas.openxmlformats.org/officeDocument/2006/relationships/hyperlink" Target="https://meteor-uat.aihw.gov.au/content/386445" TargetMode="External" Id="Rc33653b1d2bf4a04" /><Relationship Type="http://schemas.openxmlformats.org/officeDocument/2006/relationships/hyperlink" Target="https://meteor-uat.aihw.gov.au/content/323510" TargetMode="External" Id="R097e9f3fb8d94ae6" /><Relationship Type="http://schemas.openxmlformats.org/officeDocument/2006/relationships/hyperlink" Target="https://meteor-uat.aihw.gov.au/content/287316" TargetMode="External" Id="Raf3bb097287b4f78" /><Relationship Type="http://schemas.openxmlformats.org/officeDocument/2006/relationships/hyperlink" Target="https://meteor-uat.aihw.gov.au/content/386449" TargetMode="External" Id="Rb25df078507645e5" /><Relationship Type="http://schemas.openxmlformats.org/officeDocument/2006/relationships/hyperlink" Target="https://meteor-uat.aihw.gov.au/content/323185" TargetMode="External" Id="R0c3f81379f824ea6" /><Relationship Type="http://schemas.openxmlformats.org/officeDocument/2006/relationships/hyperlink" Target="https://meteor-uat.aihw.gov.au/content/386453" TargetMode="External" Id="Rec21b3907a034d49" /><Relationship Type="http://schemas.openxmlformats.org/officeDocument/2006/relationships/hyperlink" Target="https://meteor-uat.aihw.gov.au/content/270160" TargetMode="External" Id="R2ed2d25c505f47fa" /><Relationship Type="http://schemas.openxmlformats.org/officeDocument/2006/relationships/hyperlink" Target="https://meteor-uat.aihw.gov.au/content/338558" TargetMode="External" Id="R74e54c2b47ca47ce" /><Relationship Type="http://schemas.openxmlformats.org/officeDocument/2006/relationships/hyperlink" Target="https://meteor-uat.aihw.gov.au/content/386527" TargetMode="External" Id="R0137ec65475f4989" /><Relationship Type="http://schemas.openxmlformats.org/officeDocument/2006/relationships/hyperlink" Target="https://meteor-uat.aihw.gov.au/content/323253" TargetMode="External" Id="R7a26d2302f4b4212" /><Relationship Type="http://schemas.openxmlformats.org/officeDocument/2006/relationships/hyperlink" Target="https://meteor-uat.aihw.gov.au/content/290064" TargetMode="External" Id="Rcdbebb1a00874643" /><Relationship Type="http://schemas.openxmlformats.org/officeDocument/2006/relationships/hyperlink" Target="https://meteor-uat.aihw.gov.au/content/289083" TargetMode="External" Id="Rcfc3744e950045c2" /><Relationship Type="http://schemas.openxmlformats.org/officeDocument/2006/relationships/hyperlink" Target="https://meteor-uat.aihw.gov.au/content/322176" TargetMode="External" Id="R618cdeddbb0c4c3d" /><Relationship Type="http://schemas.openxmlformats.org/officeDocument/2006/relationships/hyperlink" Target="https://meteor-uat.aihw.gov.au/content/321039" TargetMode="External" Id="Rd43d158413334b88" /><Relationship Type="http://schemas.openxmlformats.org/officeDocument/2006/relationships/hyperlink" Target="https://meteor-uat.aihw.gov.au/content/355759" TargetMode="External" Id="Rd7105d291734470a" /><Relationship Type="http://schemas.openxmlformats.org/officeDocument/2006/relationships/hyperlink" Target="https://meteor-uat.aihw.gov.au/content/386792" TargetMode="External" Id="R06e3ce9e40e14f81" /><Relationship Type="http://schemas.openxmlformats.org/officeDocument/2006/relationships/hyperlink" Target="https://meteor-uat.aihw.gov.au/content/347870" TargetMode="External" Id="R7adaaf36f6b246cc" /><Relationship Type="http://schemas.openxmlformats.org/officeDocument/2006/relationships/hyperlink" Target="https://meteor-uat.aihw.gov.au/content/347882" TargetMode="External" Id="Rd22dbc4dbafe4d30" /><Relationship Type="http://schemas.openxmlformats.org/officeDocument/2006/relationships/hyperlink" Target="https://meteor-uat.aihw.gov.au/content/321004" TargetMode="External" Id="R07611532884a44e0" /><Relationship Type="http://schemas.openxmlformats.org/officeDocument/2006/relationships/hyperlink" Target="https://meteor-uat.aihw.gov.au/content/322239" TargetMode="External" Id="Rb6adcdb41e2041e8" /><Relationship Type="http://schemas.openxmlformats.org/officeDocument/2006/relationships/hyperlink" Target="https://meteor-uat.aihw.gov.au/content/321271" TargetMode="External" Id="Rcb3a3ac8279b4122" /><Relationship Type="http://schemas.openxmlformats.org/officeDocument/2006/relationships/hyperlink" Target="https://meteor-uat.aihw.gov.au/content/323188" TargetMode="External" Id="R75cfee2c99c64215" /><Relationship Type="http://schemas.openxmlformats.org/officeDocument/2006/relationships/hyperlink" Target="https://meteor-uat.aihw.gov.au/content/270376" TargetMode="External" Id="Rbc11923935734308" /><Relationship Type="http://schemas.openxmlformats.org/officeDocument/2006/relationships/hyperlink" Target="https://meteor-uat.aihw.gov.au/content/270377" TargetMode="External" Id="R30f5a1615c284e03" /><Relationship Type="http://schemas.openxmlformats.org/officeDocument/2006/relationships/hyperlink" Target="https://meteor-uat.aihw.gov.au/content/386477" TargetMode="External" Id="R4122bb9d061a42e9" /><Relationship Type="http://schemas.openxmlformats.org/officeDocument/2006/relationships/hyperlink" Target="https://meteor-uat.aihw.gov.au/content/386479" TargetMode="External" Id="Rf9848356203b4ece" /><Relationship Type="http://schemas.openxmlformats.org/officeDocument/2006/relationships/hyperlink" Target="https://meteor-uat.aihw.gov.au/content/350937" TargetMode="External" Id="R08d60b41296e4da6" /><Relationship Type="http://schemas.openxmlformats.org/officeDocument/2006/relationships/hyperlink" Target="https://meteor-uat.aihw.gov.au/content/386483" TargetMode="External" Id="R56599b413eff44dc" /></Relationships>
</file>

<file path=word/_rels/header1.xml.rels>&#65279;<?xml version="1.0" encoding="utf-8"?><Relationships xmlns="http://schemas.openxmlformats.org/package/2006/relationships"><Relationship Type="http://schemas.openxmlformats.org/officeDocument/2006/relationships/image" Target="/media/image.png" Id="R9ad1ac692f374ca0" /></Relationships>
</file>