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f85ce4880a4d9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14-Antenatal care,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14-Antenatal care,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14-Antenatal care,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fdcefb31364bde">
              <w:r>
                <w:rPr>
                  <w:rStyle w:val="Hyperlink"/>
                  <w:color w:val="244061"/>
                </w:rPr>
                <w:t xml:space="preserve">Health!</w:t>
              </w:r>
            </w:hyperlink>
            <w:r>
              <w:rPr>
                <w:rStyle w:val="row-content"/>
                <w:color w:val="244061"/>
              </w:rPr>
              <w:t xml:space="preserve">, Superseded 31/10/2011</w:t>
            </w:r>
          </w:p>
          <w:p>
            <w:pPr>
              <w:spacing w:before="0" w:after="0"/>
            </w:pPr>
            <w:hyperlink w:history="true" r:id="R55859d3e22924652">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Indigenous status:</w:t>
            </w:r>
          </w:p>
          <w:p>
            <w:pPr>
              <w:spacing w:after="160"/>
            </w:pPr>
            <w:r>
              <w:rPr>
                <w:rStyle w:val="row-content-rich-text"/>
              </w:rPr>
              <w:t xml:space="preserve">(1a): Number of women who gave birth, where an antenatal visit was reported in the first trimester, as a proportion of women who gave birth</w:t>
            </w:r>
          </w:p>
          <w:p>
            <w:pPr>
              <w:spacing w:after="160"/>
            </w:pPr>
            <w:r>
              <w:rPr>
                <w:rStyle w:val="row-content-rich-text"/>
              </w:rPr>
              <w:t xml:space="preserve">and</w:t>
            </w:r>
          </w:p>
          <w:p>
            <w:pPr/>
            <w:r>
              <w:rPr>
                <w:rStyle w:val="row-content-rich-text"/>
              </w:rPr>
              <w:t xml:space="preserve">(1b): Number of women who gave birth, where five or more antenatal visits were reported, as a proportion of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care needs of all Australians are met effectively through timely and quality care in the community.</w:t>
            </w:r>
          </w:p>
          <w:p>
            <w:pPr/>
            <w:r>
              <w:rPr>
                <w:rStyle w:val="row-content-rich-text"/>
              </w:rPr>
              <w:t xml:space="preserve">Good antenatal care is associated with positive health outcomes for mothers and babies.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957a069ce754587">
              <w:r>
                <w:rPr>
                  <w:rStyle w:val="Hyperlink"/>
                </w:rPr>
                <w:t xml:space="preserve">National Indigenous Reform Agreement (2011)</w:t>
              </w:r>
            </w:hyperlink>
          </w:p>
          <w:p>
            <w:pPr>
              <w:pStyle w:val="registration-status"/>
              <w:spacing w:before="0" w:after="0"/>
            </w:pPr>
            <w:hyperlink w:history="true" r:id="R9348e0ddb0214906">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5b6990b133843a7">
              <w:r>
                <w:rPr>
                  <w:rStyle w:val="Hyperlink"/>
                </w:rPr>
                <w:t xml:space="preserve">Indigenous children are born and remain healthy</w:t>
              </w:r>
            </w:hyperlink>
          </w:p>
          <w:p>
            <w:pPr>
              <w:pStyle w:val="registration-status"/>
              <w:spacing w:before="0" w:after="0"/>
            </w:pPr>
            <w:hyperlink w:history="true" r:id="R41f3acef925441d5">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 age-standardised rates are calculated for Indigenous and non-Indigenous Australians.</w:t>
            </w:r>
          </w:p>
          <w:p>
            <w:pPr>
              <w:spacing w:after="160"/>
            </w:pPr>
            <w:r>
              <w:rPr>
                <w:rStyle w:val="row-content-rich-text"/>
              </w:rPr>
              <w:t xml:space="preserve">Rate ratios and rate differences are calculated for Indigenous:non-Indigenous.</w:t>
            </w:r>
          </w:p>
          <w:p>
            <w:pPr>
              <w:spacing w:after="160"/>
            </w:pPr>
            <w:r>
              <w:rPr>
                <w:rStyle w:val="row-content-rich-text"/>
              </w:rPr>
              <w:t xml:space="preserve">Presentation: per 100 (percentage).</w:t>
            </w:r>
          </w:p>
          <w:p>
            <w:pPr>
              <w:spacing w:after="160"/>
            </w:pPr>
            <w:r>
              <w:rPr>
                <w:rStyle w:val="row-content-rich-text"/>
                <w:u w:val="single"/>
              </w:rPr>
              <w:t xml:space="preserve">Definitions:</w:t>
            </w:r>
          </w:p>
          <w:p>
            <w:pPr>
              <w:spacing w:after="160"/>
            </w:pPr>
            <w:r>
              <w:rPr>
                <w:rStyle w:val="row-content-rich-text"/>
              </w:rPr>
              <w:t xml:space="preserve">‘Birth’ includes live births and still births if the birthweight was at least 400 grams or the gestational age was 20 weeks or more.</w:t>
            </w:r>
          </w:p>
          <w:p>
            <w:pPr/>
            <w:r>
              <w:rPr>
                <w:rStyle w:val="row-content-rich-text"/>
              </w:rPr>
              <w:t xml:space="preserve">First trimester is defined as the first 13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1(a)</w:t>
            </w:r>
            <w:r>
              <w:rPr>
                <w:rStyle w:val="row-content-rich-text"/>
              </w:rPr>
              <w:t xml:space="preserve">: number of women who gave birth who attended at least one antenatal visit was reported in the first trimester (up to and including 13 completed weeks), whether resulting in live or still birth.</w:t>
            </w:r>
          </w:p>
          <w:p>
            <w:pPr/>
            <w:r>
              <w:rPr>
                <w:rStyle w:val="row-content-rich-text"/>
                <w:u w:val="single"/>
              </w:rPr>
              <w:t xml:space="preserve">Measure 1(b):</w:t>
            </w:r>
            <w:r>
              <w:rPr>
                <w:rStyle w:val="row-content-rich-text"/>
              </w:rPr>
              <w:t xml:space="preserve"> number of women who gave birth who attended five or more antenatal visits was reported for pregnancy of 32 or more weeks, whether resulting in live or still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antenatal visits</w:t>
            </w:r>
          </w:p>
          <w:p>
            <w:r>
              <w:rPr>
                <w:rStyle w:val="row-content"/>
                <w:b/>
              </w:rPr>
              <w:t xml:space="preserve">Data Source</w:t>
            </w:r>
          </w:p>
          <w:p>
            <w:hyperlink w:history="true" r:id="R9b8e394658314457">
              <w:r>
                <w:rPr>
                  <w:rStyle w:val="Hyperlink"/>
                </w:rPr>
                <w:t xml:space="preserve">AIHW National Perinatal Data Collection (NPDC)</w:t>
              </w:r>
            </w:hyperlink>
          </w:p>
          <w:p>
            <w:r>
              <w:rPr>
                <w:rStyle w:val="row-content"/>
                <w:b/>
              </w:rPr>
              <w:t xml:space="preserve">NMDS / DSS</w:t>
            </w:r>
          </w:p>
          <w:p>
            <w:hyperlink w:history="true" r:id="Rc72b9f701f304ec2">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36899e859094202">
              <w:r>
                <w:rPr>
                  <w:rStyle w:val="Hyperlink"/>
                </w:rPr>
                <w:t xml:space="preserve">Birth—birth status, code N</w:t>
              </w:r>
            </w:hyperlink>
          </w:p>
          <w:p>
            <w:r>
              <w:rPr>
                <w:rStyle w:val="row-content"/>
                <w:b/>
              </w:rPr>
              <w:t xml:space="preserve">Data Source</w:t>
            </w:r>
          </w:p>
          <w:p>
            <w:hyperlink w:history="true" r:id="R60a31db2f4f54904">
              <w:r>
                <w:rPr>
                  <w:rStyle w:val="Hyperlink"/>
                </w:rPr>
                <w:t xml:space="preserve">AIHW National Perinatal Data Collection (NPDC)</w:t>
              </w:r>
            </w:hyperlink>
          </w:p>
          <w:p>
            <w:r>
              <w:rPr>
                <w:rStyle w:val="row-content"/>
                <w:b/>
              </w:rPr>
              <w:t xml:space="preserve">NMDS / DSS</w:t>
            </w:r>
          </w:p>
          <w:p>
            <w:hyperlink w:history="true" r:id="R8e7ed67023f0440d">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75bfaccebe647ab">
              <w:r>
                <w:rPr>
                  <w:rStyle w:val="Hyperlink"/>
                </w:rPr>
                <w:t xml:space="preserve">Female (pregnant)—estimated gestational age, total weeks NN</w:t>
              </w:r>
            </w:hyperlink>
          </w:p>
          <w:p>
            <w:r>
              <w:rPr>
                <w:rStyle w:val="row-content"/>
                <w:b/>
              </w:rPr>
              <w:t xml:space="preserve">Data Source</w:t>
            </w:r>
          </w:p>
          <w:p>
            <w:hyperlink w:history="true" r:id="R8fd19f4531744334">
              <w:r>
                <w:rPr>
                  <w:rStyle w:val="Hyperlink"/>
                </w:rPr>
                <w:t xml:space="preserve">AIHW National Perinatal Data Collection (NPDC)</w:t>
              </w:r>
            </w:hyperlink>
          </w:p>
          <w:p>
            <w:r>
              <w:rPr>
                <w:rStyle w:val="row-content"/>
                <w:b/>
              </w:rPr>
              <w:t xml:space="preserve">NMDS / DSS</w:t>
            </w:r>
          </w:p>
          <w:p>
            <w:hyperlink w:history="true" r:id="Rb470901cb91546bb">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(1a):</w:t>
            </w:r>
            <w:r>
              <w:rPr>
                <w:rStyle w:val="row-content-rich-text"/>
              </w:rPr>
              <w:t xml:space="preserve"> total number of women who gave birth at 32 weeks or more gestation, whether resulting in live or still birth.</w:t>
            </w:r>
          </w:p>
          <w:p>
            <w:pPr/>
            <w:r>
              <w:rPr>
                <w:rStyle w:val="row-content-rich-text"/>
                <w:u w:val="single"/>
              </w:rPr>
              <w:t xml:space="preserve">Measure (1b):</w:t>
            </w:r>
            <w:r>
              <w:rPr>
                <w:rStyle w:val="row-content-rich-text"/>
              </w:rPr>
              <w:t xml:space="preserve"> total number of women who gave birth at 32 weeks or more gestation, whether resulting in live or still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1a3845d25c94032">
              <w:r>
                <w:rPr>
                  <w:rStyle w:val="Hyperlink"/>
                </w:rPr>
                <w:t xml:space="preserve">Birth—birth status, code N</w:t>
              </w:r>
            </w:hyperlink>
          </w:p>
          <w:p>
            <w:r>
              <w:rPr>
                <w:rStyle w:val="row-content"/>
                <w:b/>
              </w:rPr>
              <w:t xml:space="preserve">Data Source</w:t>
            </w:r>
          </w:p>
          <w:p>
            <w:hyperlink w:history="true" r:id="R8c5bac76cb1e406a">
              <w:r>
                <w:rPr>
                  <w:rStyle w:val="Hyperlink"/>
                </w:rPr>
                <w:t xml:space="preserve">AIHW National Perinatal Data Collection (NPDC)</w:t>
              </w:r>
            </w:hyperlink>
          </w:p>
          <w:p>
            <w:r>
              <w:rPr>
                <w:rStyle w:val="row-content"/>
                <w:b/>
              </w:rPr>
              <w:t xml:space="preserve">NMDS / DSS</w:t>
            </w:r>
          </w:p>
          <w:p>
            <w:hyperlink w:history="true" r:id="R7fd0869220134379">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f0c2b9d0df54a84">
              <w:r>
                <w:rPr>
                  <w:rStyle w:val="Hyperlink"/>
                </w:rPr>
                <w:t xml:space="preserve">Female (pregnant)—estimated gestational age, total weeks NN</w:t>
              </w:r>
            </w:hyperlink>
          </w:p>
          <w:p>
            <w:r>
              <w:rPr>
                <w:rStyle w:val="row-content"/>
                <w:b/>
              </w:rPr>
              <w:t xml:space="preserve">Data Source</w:t>
            </w:r>
          </w:p>
          <w:p>
            <w:hyperlink w:history="true" r:id="R6565c3f49616412f">
              <w:r>
                <w:rPr>
                  <w:rStyle w:val="Hyperlink"/>
                </w:rPr>
                <w:t xml:space="preserve">AIHW National Perinatal Data Collection (NPDC)</w:t>
              </w:r>
            </w:hyperlink>
          </w:p>
          <w:p>
            <w:r>
              <w:rPr>
                <w:rStyle w:val="row-content"/>
                <w:b/>
              </w:rPr>
              <w:t xml:space="preserve">NMDS / DSS</w:t>
            </w:r>
          </w:p>
          <w:p>
            <w:hyperlink w:history="true" r:id="Rb40728be6059414c">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for Indigenous women (crude rates).</w:t>
            </w:r>
          </w:p>
          <w:p>
            <w:pPr/>
            <w:r>
              <w:rPr>
                <w:rStyle w:val="row-content-rich-text"/>
              </w:rPr>
              <w:t xml:space="preserve">National and state/territory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56763e8df464bb3">
              <w:r>
                <w:rPr>
                  <w:rStyle w:val="Hyperlink"/>
                </w:rPr>
                <w:t xml:space="preserve">Person—Indigenous status, code N</w:t>
              </w:r>
            </w:hyperlink>
          </w:p>
          <w:p>
            <w:r>
              <w:rPr>
                <w:rStyle w:val="row-content"/>
                <w:b/>
              </w:rPr>
              <w:t xml:space="preserve">Data Source</w:t>
            </w:r>
          </w:p>
          <w:p>
            <w:hyperlink w:history="true" r:id="Re08dcf580c31458e">
              <w:r>
                <w:rPr>
                  <w:rStyle w:val="Hyperlink"/>
                </w:rPr>
                <w:t xml:space="preserve">AIHW National Perinatal Data Collection (NPDC)</w:t>
              </w:r>
            </w:hyperlink>
          </w:p>
          <w:p>
            <w:r>
              <w:rPr>
                <w:rStyle w:val="row-content"/>
                <w:b/>
              </w:rPr>
              <w:t xml:space="preserve">NMDS / DSS</w:t>
            </w:r>
          </w:p>
          <w:p>
            <w:hyperlink w:history="true" r:id="R525170322f8e43f4">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7124a037c2949d1">
              <w:r>
                <w:rPr>
                  <w:rStyle w:val="Hyperlink"/>
                </w:rPr>
                <w:t xml:space="preserve">Person—area of usual residence, geographical location code (ASGC 2007) NNNNN</w:t>
              </w:r>
            </w:hyperlink>
          </w:p>
          <w:p>
            <w:r>
              <w:rPr>
                <w:rStyle w:val="row-content"/>
                <w:b/>
              </w:rPr>
              <w:t xml:space="preserve">Data Source</w:t>
            </w:r>
          </w:p>
          <w:p>
            <w:hyperlink w:history="true" r:id="R4bf91a6f5c934548">
              <w:r>
                <w:rPr>
                  <w:rStyle w:val="Hyperlink"/>
                </w:rPr>
                <w:t xml:space="preserve">AIHW National Perinatal Data Collection (NPDC)</w:t>
              </w:r>
            </w:hyperlink>
          </w:p>
          <w:p>
            <w:r>
              <w:rPr>
                <w:rStyle w:val="row-content"/>
                <w:b/>
              </w:rPr>
              <w:t xml:space="preserve">NMDS / DSS</w:t>
            </w:r>
          </w:p>
          <w:p>
            <w:hyperlink w:history="true" r:id="R1daddbb495a44872">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is 2008.</w:t>
            </w:r>
          </w:p>
          <w:p>
            <w:pPr>
              <w:spacing w:after="160"/>
            </w:pPr>
            <w:r>
              <w:rPr>
                <w:rStyle w:val="row-content-rich-text"/>
              </w:rPr>
              <w:t xml:space="preserve">Currently data on gestation at first visit (1a) are only available for NSW, SA, NT; and data on number of antenatal visits (1b) are only available for Qld, SA &amp; NT.</w:t>
            </w:r>
          </w:p>
          <w:p>
            <w:pPr>
              <w:spacing w:after="160"/>
            </w:pPr>
            <w:r>
              <w:rPr>
                <w:rStyle w:val="row-content-rich-text"/>
              </w:rPr>
              <w:t xml:space="preserve">Comparability between data currently collected may be limited by different definitions of first antenatal visit.</w:t>
            </w:r>
          </w:p>
          <w:p>
            <w:pPr>
              <w:spacing w:after="160"/>
            </w:pPr>
            <w:r>
              <w:rPr>
                <w:rStyle w:val="row-content-rich-text"/>
              </w:rPr>
              <w:t xml:space="preserve">Rates are directly age standardised to the Australian female population who gave birth in the current reporting period (i.e. 2008 for reporting of 2008 data).</w:t>
            </w:r>
          </w:p>
          <w:p>
            <w:pPr>
              <w:spacing w:after="160"/>
            </w:pPr>
            <w:r>
              <w:rPr>
                <w:rStyle w:val="row-content-rich-text"/>
              </w:rPr>
              <w:t xml:space="preserve">Maternal age is the age at the time of giving birth.</w:t>
            </w:r>
          </w:p>
          <w:p>
            <w:pPr/>
            <w:r>
              <w:rPr>
                <w:rStyle w:val="row-content-rich-text"/>
              </w:rPr>
              <w:t xml:space="preserve">Baseline year for this indicator is 2008; target year is 2018.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4168cf0b841455f">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e9fe3c341bc48a4">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 pending the development and implementation of standard data definitions. Work is underway to include data elements on antenatal care in the Perinatal National Minimum Data Set to enable national reporting.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4f421bd1b046fd">
              <w:r>
                <w:rPr>
                  <w:rStyle w:val="Hyperlink"/>
                </w:rPr>
                <w:t xml:space="preserve">National Indigenous Reform Agreement: P14-Antenatal care, 2010</w:t>
              </w:r>
            </w:hyperlink>
          </w:p>
          <w:p>
            <w:pPr>
              <w:pStyle w:val="registration-status"/>
              <w:spacing w:before="0" w:after="0"/>
            </w:pPr>
            <w:hyperlink w:history="true" r:id="Rea705eafdad8417e">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bfe0ea70326c40ae">
              <w:r>
                <w:rPr>
                  <w:rStyle w:val="Hyperlink"/>
                </w:rPr>
                <w:t xml:space="preserve">National Indigenous Reform Agreement: PI 14-Antenatal care, 2012</w:t>
              </w:r>
            </w:hyperlink>
          </w:p>
          <w:p>
            <w:pPr>
              <w:pStyle w:val="registration-status"/>
              <w:spacing w:before="0" w:after="0"/>
            </w:pPr>
            <w:hyperlink w:history="true" r:id="R8b2bf4243979456b">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c8c13a5e325b49b0">
              <w:r>
                <w:rPr>
                  <w:rStyle w:val="Hyperlink"/>
                </w:rPr>
                <w:t xml:space="preserve">National Healthcare Agreement: PI 33-Women with at least one antenatal visit in the first trimester of pregnancy, 2011</w:t>
              </w:r>
            </w:hyperlink>
          </w:p>
          <w:p>
            <w:pPr>
              <w:pStyle w:val="registration-status"/>
              <w:spacing w:before="0" w:after="0"/>
            </w:pPr>
            <w:hyperlink w:history="true" r:id="R79976fd0b12e4f4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d6521602c8434e05">
              <w:r>
                <w:rPr>
                  <w:rStyle w:val="Hyperlink"/>
                </w:rPr>
                <w:t xml:space="preserve">National Healthcare Agreement: PI 33-Women with at least one antenatal visit in the first trimester of pregnancy, 2012</w:t>
              </w:r>
            </w:hyperlink>
          </w:p>
          <w:p>
            <w:pPr>
              <w:pStyle w:val="registration-status"/>
              <w:spacing w:before="0" w:after="0"/>
            </w:pPr>
            <w:hyperlink w:history="true" r:id="R01d36b4a33484698">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0af6e952f5aa42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425775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4236e0e48548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f6e952f5aa4233" /><Relationship Type="http://schemas.openxmlformats.org/officeDocument/2006/relationships/header" Target="/word/header1.xml" Id="R93ba2b8136564a77" /><Relationship Type="http://schemas.openxmlformats.org/officeDocument/2006/relationships/settings" Target="/word/settings.xml" Id="R614f4e0f585341ca" /><Relationship Type="http://schemas.openxmlformats.org/officeDocument/2006/relationships/styles" Target="/word/styles.xml" Id="Rf28459d285344956" /><Relationship Type="http://schemas.openxmlformats.org/officeDocument/2006/relationships/hyperlink" Target="https://meteor-uat.aihw.gov.au/RegistrationAuthority/14" TargetMode="External" Id="Rf5fdcefb31364bde" /><Relationship Type="http://schemas.openxmlformats.org/officeDocument/2006/relationships/hyperlink" Target="https://meteor-uat.aihw.gov.au/RegistrationAuthority/9" TargetMode="External" Id="R55859d3e22924652" /><Relationship Type="http://schemas.openxmlformats.org/officeDocument/2006/relationships/hyperlink" Target="https://meteor-uat.aihw.gov.au/content/425730" TargetMode="External" Id="R3957a069ce754587" /><Relationship Type="http://schemas.openxmlformats.org/officeDocument/2006/relationships/hyperlink" Target="https://meteor-uat.aihw.gov.au/RegistrationAuthority/9" TargetMode="External" Id="R9348e0ddb0214906" /><Relationship Type="http://schemas.openxmlformats.org/officeDocument/2006/relationships/hyperlink" Target="https://meteor-uat.aihw.gov.au/content/396166" TargetMode="External" Id="Ra5b6990b133843a7" /><Relationship Type="http://schemas.openxmlformats.org/officeDocument/2006/relationships/hyperlink" Target="https://meteor-uat.aihw.gov.au/RegistrationAuthority/9" TargetMode="External" Id="R41f3acef925441d5" /><Relationship Type="http://schemas.openxmlformats.org/officeDocument/2006/relationships/hyperlink" Target="https://meteor-uat.aihw.gov.au/content/392479" TargetMode="External" Id="R9b8e394658314457" /><Relationship Type="http://schemas.openxmlformats.org/officeDocument/2006/relationships/hyperlink" Target="https://meteor-uat.aihw.gov.au/content/340684" TargetMode="External" Id="Rc72b9f701f304ec2" /><Relationship Type="http://schemas.openxmlformats.org/officeDocument/2006/relationships/hyperlink" Target="https://meteor-uat.aihw.gov.au/content/269949" TargetMode="External" Id="Re36899e859094202" /><Relationship Type="http://schemas.openxmlformats.org/officeDocument/2006/relationships/hyperlink" Target="https://meteor-uat.aihw.gov.au/content/392479" TargetMode="External" Id="R60a31db2f4f54904" /><Relationship Type="http://schemas.openxmlformats.org/officeDocument/2006/relationships/hyperlink" Target="https://meteor-uat.aihw.gov.au/content/340684" TargetMode="External" Id="R8e7ed67023f0440d" /><Relationship Type="http://schemas.openxmlformats.org/officeDocument/2006/relationships/hyperlink" Target="https://meteor-uat.aihw.gov.au/content/269965" TargetMode="External" Id="R075bfaccebe647ab" /><Relationship Type="http://schemas.openxmlformats.org/officeDocument/2006/relationships/hyperlink" Target="https://meteor-uat.aihw.gov.au/content/392479" TargetMode="External" Id="R8fd19f4531744334" /><Relationship Type="http://schemas.openxmlformats.org/officeDocument/2006/relationships/hyperlink" Target="https://meteor-uat.aihw.gov.au/content/340684" TargetMode="External" Id="Rb470901cb91546bb" /><Relationship Type="http://schemas.openxmlformats.org/officeDocument/2006/relationships/hyperlink" Target="https://meteor-uat.aihw.gov.au/content/269949" TargetMode="External" Id="R31a3845d25c94032" /><Relationship Type="http://schemas.openxmlformats.org/officeDocument/2006/relationships/hyperlink" Target="https://meteor-uat.aihw.gov.au/content/392479" TargetMode="External" Id="R8c5bac76cb1e406a" /><Relationship Type="http://schemas.openxmlformats.org/officeDocument/2006/relationships/hyperlink" Target="https://meteor-uat.aihw.gov.au/content/340684" TargetMode="External" Id="R7fd0869220134379" /><Relationship Type="http://schemas.openxmlformats.org/officeDocument/2006/relationships/hyperlink" Target="https://meteor-uat.aihw.gov.au/content/269965" TargetMode="External" Id="R0f0c2b9d0df54a84" /><Relationship Type="http://schemas.openxmlformats.org/officeDocument/2006/relationships/hyperlink" Target="https://meteor-uat.aihw.gov.au/content/392479" TargetMode="External" Id="R6565c3f49616412f" /><Relationship Type="http://schemas.openxmlformats.org/officeDocument/2006/relationships/hyperlink" Target="https://meteor-uat.aihw.gov.au/content/340684" TargetMode="External" Id="Rb40728be6059414c" /><Relationship Type="http://schemas.openxmlformats.org/officeDocument/2006/relationships/hyperlink" Target="https://meteor-uat.aihw.gov.au/content/291036" TargetMode="External" Id="R556763e8df464bb3" /><Relationship Type="http://schemas.openxmlformats.org/officeDocument/2006/relationships/hyperlink" Target="https://meteor-uat.aihw.gov.au/content/392479" TargetMode="External" Id="Re08dcf580c31458e" /><Relationship Type="http://schemas.openxmlformats.org/officeDocument/2006/relationships/hyperlink" Target="https://meteor-uat.aihw.gov.au/content/340684" TargetMode="External" Id="R525170322f8e43f4" /><Relationship Type="http://schemas.openxmlformats.org/officeDocument/2006/relationships/hyperlink" Target="https://meteor-uat.aihw.gov.au/content/362291" TargetMode="External" Id="R37124a037c2949d1" /><Relationship Type="http://schemas.openxmlformats.org/officeDocument/2006/relationships/hyperlink" Target="https://meteor-uat.aihw.gov.au/content/392479" TargetMode="External" Id="R4bf91a6f5c934548" /><Relationship Type="http://schemas.openxmlformats.org/officeDocument/2006/relationships/hyperlink" Target="https://meteor-uat.aihw.gov.au/content/340684" TargetMode="External" Id="R1daddbb495a44872" /><Relationship Type="http://schemas.openxmlformats.org/officeDocument/2006/relationships/hyperlink" Target="https://meteor-uat.aihw.gov.au/content/410681" TargetMode="External" Id="Rd4168cf0b841455f" /><Relationship Type="http://schemas.openxmlformats.org/officeDocument/2006/relationships/hyperlink" Target="https://meteor-uat.aihw.gov.au/content/392479" TargetMode="External" Id="Rae9fe3c341bc48a4" /><Relationship Type="http://schemas.openxmlformats.org/officeDocument/2006/relationships/hyperlink" Target="https://meteor-uat.aihw.gov.au/content/396575" TargetMode="External" Id="R8a4f421bd1b046fd" /><Relationship Type="http://schemas.openxmlformats.org/officeDocument/2006/relationships/hyperlink" Target="https://meteor-uat.aihw.gov.au/RegistrationAuthority/3" TargetMode="External" Id="Rea705eafdad8417e" /><Relationship Type="http://schemas.openxmlformats.org/officeDocument/2006/relationships/hyperlink" Target="https://meteor-uat.aihw.gov.au/content/438513" TargetMode="External" Id="Rbfe0ea70326c40ae" /><Relationship Type="http://schemas.openxmlformats.org/officeDocument/2006/relationships/hyperlink" Target="https://meteor-uat.aihw.gov.au/RegistrationAuthority/9" TargetMode="External" Id="R8b2bf4243979456b" /><Relationship Type="http://schemas.openxmlformats.org/officeDocument/2006/relationships/hyperlink" Target="https://meteor-uat.aihw.gov.au/content/421625" TargetMode="External" Id="Rc8c13a5e325b49b0" /><Relationship Type="http://schemas.openxmlformats.org/officeDocument/2006/relationships/hyperlink" Target="https://meteor-uat.aihw.gov.au/RegistrationAuthority/14" TargetMode="External" Id="R79976fd0b12e4f40" /><Relationship Type="http://schemas.openxmlformats.org/officeDocument/2006/relationships/hyperlink" Target="https://meteor-uat.aihw.gov.au/content/435858" TargetMode="External" Id="Rd6521602c8434e05" /><Relationship Type="http://schemas.openxmlformats.org/officeDocument/2006/relationships/hyperlink" Target="https://meteor-uat.aihw.gov.au/RegistrationAuthority/14" TargetMode="External" Id="R01d36b4a33484698" /></Relationships>
</file>

<file path=word/_rels/header1.xml.rels>&#65279;<?xml version="1.0" encoding="utf-8"?><Relationships xmlns="http://schemas.openxmlformats.org/package/2006/relationships"><Relationship Type="http://schemas.openxmlformats.org/officeDocument/2006/relationships/image" Target="/media/image.png" Id="Red4236e0e48548b9" /></Relationships>
</file>