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c3093528f44ea"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endometrial cancer staging (FIGO)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endometrial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FIGO endometrial cancer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a12e0b49d42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 primary endometrial cancer as outlined by International Federation of Gynecology and Obstetrics (FIGO),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927b20472440d8">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d2b4b6eeed4a7c">
              <w:r>
                <w:rPr>
                  <w:rStyle w:val="Hyperlink"/>
                </w:rPr>
                <w:t xml:space="preserve">Endometrial cancer staging (FIGO)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ae4606a63440a6">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(FIGO) endometrial cancer stage according to 2009 definitions.</w:t>
            </w:r>
          </w:p>
          <w:p>
            <w:pPr>
              <w:spacing w:after="160"/>
            </w:pPr>
            <w:r>
              <w:rPr>
                <w:rStyle w:val="row-content-rich-text"/>
                <w:b/>
              </w:rPr>
              <w:t xml:space="preserve">Stage I</w:t>
            </w:r>
            <w:r>
              <w:rPr>
                <w:rStyle w:val="row-content-rich-text"/>
              </w:rPr>
              <w:t xml:space="preserve">: tumour confined to the corpus uteri.</w:t>
            </w:r>
          </w:p>
          <w:p>
            <w:pPr>
              <w:spacing w:after="160"/>
            </w:pPr>
            <w:r>
              <w:rPr>
                <w:rStyle w:val="row-content-rich-text"/>
              </w:rPr>
              <w:t xml:space="preserve">CODE 1   Stage IA</w:t>
            </w:r>
          </w:p>
          <w:p>
            <w:pPr>
              <w:spacing w:after="160"/>
            </w:pPr>
            <w:r>
              <w:rPr>
                <w:rStyle w:val="row-content-rich-text"/>
              </w:rPr>
              <w:t xml:space="preserve">No invasion or less than half myometrial invasion.</w:t>
            </w:r>
          </w:p>
          <w:p>
            <w:pPr>
              <w:spacing w:after="160"/>
            </w:pPr>
            <w:r>
              <w:rPr>
                <w:rStyle w:val="row-content-rich-text"/>
              </w:rPr>
              <w:t xml:space="preserve">CODE 2   Stage IB</w:t>
            </w:r>
          </w:p>
          <w:p>
            <w:pPr>
              <w:spacing w:after="160"/>
            </w:pPr>
            <w:r>
              <w:rPr>
                <w:rStyle w:val="row-content-rich-text"/>
              </w:rPr>
              <w:t xml:space="preserve">Invasion equal to or greater than half of the myometrium.</w:t>
            </w:r>
          </w:p>
          <w:p>
            <w:pPr>
              <w:spacing w:after="160"/>
            </w:pPr>
            <w:r>
              <w:rPr>
                <w:rStyle w:val="row-content-rich-text"/>
                <w:b/>
              </w:rPr>
              <w:t xml:space="preserve">Stage II</w:t>
            </w:r>
          </w:p>
          <w:p>
            <w:pPr>
              <w:spacing w:after="160"/>
            </w:pPr>
            <w:r>
              <w:rPr>
                <w:rStyle w:val="row-content-rich-text"/>
              </w:rPr>
              <w:t xml:space="preserve">CODE 3   Stage II</w:t>
            </w:r>
          </w:p>
          <w:p>
            <w:pPr>
              <w:spacing w:after="160"/>
            </w:pPr>
            <w:r>
              <w:rPr>
                <w:rStyle w:val="row-content-rich-text"/>
              </w:rPr>
              <w:t xml:space="preserve">Tumour invades cervical stroma, but does not extend beyond the uterus.</w:t>
            </w:r>
          </w:p>
          <w:p>
            <w:pPr>
              <w:spacing w:after="160"/>
            </w:pPr>
            <w:r>
              <w:rPr>
                <w:rStyle w:val="row-content-rich-text"/>
              </w:rPr>
              <w:t xml:space="preserve">Note: In situ involvement of the endocervix that does not invade the stroma is not a Stage II lesion.</w:t>
            </w:r>
          </w:p>
          <w:p>
            <w:pPr>
              <w:spacing w:after="160"/>
            </w:pPr>
            <w:r>
              <w:rPr>
                <w:rStyle w:val="row-content-rich-text"/>
                <w:b/>
              </w:rPr>
              <w:t xml:space="preserve">Stage III</w:t>
            </w:r>
            <w:r>
              <w:rPr>
                <w:rStyle w:val="row-content-rich-text"/>
              </w:rPr>
              <w:t xml:space="preserve">: local and/or regional spread of the tumour. </w:t>
            </w:r>
          </w:p>
          <w:p>
            <w:pPr>
              <w:spacing w:after="160"/>
            </w:pPr>
            <w:r>
              <w:rPr>
                <w:rStyle w:val="row-content-rich-text"/>
              </w:rPr>
              <w:t xml:space="preserve">CODE 4   Stage IIIA</w:t>
            </w:r>
          </w:p>
          <w:p>
            <w:pPr>
              <w:spacing w:after="160"/>
            </w:pPr>
            <w:r>
              <w:rPr>
                <w:rStyle w:val="row-content-rich-text"/>
              </w:rPr>
              <w:t xml:space="preserve">Tumour invades the serosa of the corpus uteri and/or the adnexa.</w:t>
            </w:r>
          </w:p>
          <w:p>
            <w:pPr>
              <w:spacing w:after="160"/>
            </w:pPr>
            <w:r>
              <w:rPr>
                <w:rStyle w:val="row-content-rich-text"/>
              </w:rPr>
              <w:t xml:space="preserve">CODE 5   Stage IIIB</w:t>
            </w:r>
          </w:p>
          <w:p>
            <w:pPr>
              <w:spacing w:after="160"/>
            </w:pPr>
            <w:r>
              <w:rPr>
                <w:rStyle w:val="row-content-rich-text"/>
              </w:rPr>
              <w:t xml:space="preserve">Involvement of the vagina, parametrium and/or the pelvic peritoneum.</w:t>
            </w:r>
          </w:p>
          <w:p>
            <w:pPr>
              <w:spacing w:after="160"/>
            </w:pPr>
            <w:r>
              <w:rPr>
                <w:rStyle w:val="row-content-rich-text"/>
                <w:b/>
              </w:rPr>
              <w:t xml:space="preserve">Stage IIIC</w:t>
            </w:r>
            <w:r>
              <w:rPr>
                <w:rStyle w:val="row-content-rich-text"/>
              </w:rPr>
              <w:t xml:space="preserve">: retroperitoneal node involvement</w:t>
            </w:r>
          </w:p>
          <w:p>
            <w:pPr>
              <w:spacing w:after="160"/>
            </w:pPr>
            <w:r>
              <w:rPr>
                <w:rStyle w:val="row-content-rich-text"/>
              </w:rPr>
              <w:t xml:space="preserve">CODE 6   Stage IIIC1</w:t>
            </w:r>
          </w:p>
          <w:p>
            <w:pPr>
              <w:spacing w:after="160"/>
            </w:pPr>
            <w:r>
              <w:rPr>
                <w:rStyle w:val="row-content-rich-text"/>
              </w:rPr>
              <w:t xml:space="preserve">Pelvic node involvement.</w:t>
            </w:r>
          </w:p>
          <w:p>
            <w:pPr>
              <w:spacing w:after="160"/>
            </w:pPr>
            <w:r>
              <w:rPr>
                <w:rStyle w:val="row-content-rich-text"/>
              </w:rPr>
              <w:t xml:space="preserve">CODE 7   Stage IIIC2</w:t>
            </w:r>
          </w:p>
          <w:p>
            <w:pPr>
              <w:spacing w:after="160"/>
            </w:pPr>
            <w:r>
              <w:rPr>
                <w:rStyle w:val="row-content-rich-text"/>
              </w:rPr>
              <w:t xml:space="preserve">Paraaortic involvement.</w:t>
            </w:r>
          </w:p>
          <w:p>
            <w:pPr>
              <w:spacing w:after="160"/>
            </w:pPr>
            <w:r>
              <w:rPr>
                <w:rStyle w:val="row-content-rich-text"/>
                <w:b/>
              </w:rPr>
              <w:t xml:space="preserve">Stage IV</w:t>
            </w:r>
            <w:r>
              <w:rPr>
                <w:rStyle w:val="row-content-rich-text"/>
              </w:rPr>
              <w:t xml:space="preserve">: tumour invades bladder and/or bowel mucosa, and/or distant metastases.</w:t>
            </w:r>
          </w:p>
          <w:p>
            <w:pPr>
              <w:spacing w:after="160"/>
            </w:pPr>
            <w:r>
              <w:rPr>
                <w:rStyle w:val="row-content-rich-text"/>
              </w:rPr>
              <w:t xml:space="preserve">CODE 8   Stage IVA</w:t>
            </w:r>
          </w:p>
          <w:p>
            <w:pPr>
              <w:spacing w:after="160"/>
            </w:pPr>
            <w:r>
              <w:rPr>
                <w:rStyle w:val="row-content-rich-text"/>
              </w:rPr>
              <w:t xml:space="preserve">Tumour invasion of bladder and/or bowel mucosa.</w:t>
            </w:r>
          </w:p>
          <w:p>
            <w:pPr>
              <w:spacing w:after="160"/>
            </w:pPr>
            <w:r>
              <w:rPr>
                <w:rStyle w:val="row-content-rich-text"/>
              </w:rPr>
              <w:t xml:space="preserve">CODE 9   Stage IVB</w:t>
            </w:r>
          </w:p>
          <w:p>
            <w:pPr/>
            <w:r>
              <w:rPr>
                <w:rStyle w:val="row-content-rich-text"/>
              </w:rPr>
              <w:t xml:space="preserve">Distant metastases, including intra-abdominal metastases and/or inguinal lymph nodes.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extent of the primary endometrial cancer as outlined by the International Federation of Gynecology and Obstetrics (FIGO) stage. This should be filled out according to 2009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8f8682aed64124">
              <w:r>
                <w:rPr>
                  <w:rStyle w:val="Hyperlink"/>
                </w:rPr>
                <w:t xml:space="preserve">Gynaecological cancer (clinical) DSS</w:t>
              </w:r>
            </w:hyperlink>
          </w:p>
          <w:p>
            <w:pPr>
              <w:pStyle w:val="registration-status"/>
              <w:spacing w:before="0" w:after="0"/>
            </w:pPr>
            <w:hyperlink w:history="true" r:id="Rccb20e23d554406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1e451e35b654456b">
              <w:r>
                <w:rPr>
                  <w:rStyle w:val="Hyperlink"/>
                </w:rPr>
                <w:t xml:space="preserve">Person with cancer—primary site of cancer, topography code (ICD-O-3) ANN.N</w:t>
              </w:r>
            </w:hyperlink>
            <w:r>
              <w:rPr>
                <w:rStyle w:val="row-content"/>
              </w:rPr>
              <w:t xml:space="preserve">.</w:t>
            </w:r>
            <w:r>
              <w:br/>
            </w:r>
            <w:r>
              <w:br/>
            </w:r>
            <w:hyperlink w:history="true" r:id="R0fbf54133f89498e">
              <w:r>
                <w:rPr>
                  <w:rStyle w:val="Hyperlink"/>
                </w:rPr>
                <w:t xml:space="preserve">Gynaecological cancer (clinical) NBPDS</w:t>
              </w:r>
            </w:hyperlink>
          </w:p>
          <w:p>
            <w:pPr>
              <w:pStyle w:val="registration-status"/>
              <w:spacing w:before="0" w:after="0"/>
            </w:pPr>
            <w:hyperlink w:history="true" r:id="Rbc8138d45a634cb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add605f07aa24015">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887bf3284c9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174655273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7bf3284c94bad" /><Relationship Type="http://schemas.openxmlformats.org/officeDocument/2006/relationships/header" Target="/word/header1.xml" Id="R6633925bf2264407" /><Relationship Type="http://schemas.openxmlformats.org/officeDocument/2006/relationships/settings" Target="/word/settings.xml" Id="R3052981beeb64a78" /><Relationship Type="http://schemas.openxmlformats.org/officeDocument/2006/relationships/styles" Target="/word/styles.xml" Id="R44b319b8a7094292" /><Relationship Type="http://schemas.openxmlformats.org/officeDocument/2006/relationships/hyperlink" Target="https://meteor-uat.aihw.gov.au/RegistrationAuthority/14" TargetMode="External" Id="R79aa12e0b49d4262" /><Relationship Type="http://schemas.openxmlformats.org/officeDocument/2006/relationships/hyperlink" Target="https://meteor-uat.aihw.gov.au/content/416363" TargetMode="External" Id="Red927b20472440d8" /><Relationship Type="http://schemas.openxmlformats.org/officeDocument/2006/relationships/hyperlink" Target="https://meteor-uat.aihw.gov.au/content/424206" TargetMode="External" Id="R5bd2b4b6eeed4a7c" /><Relationship Type="http://schemas.openxmlformats.org/officeDocument/2006/relationships/hyperlink" Target="https://meteor-uat.aihw.gov.au/content/531364" TargetMode="External" Id="R7bae4606a63440a6" /><Relationship Type="http://schemas.openxmlformats.org/officeDocument/2006/relationships/hyperlink" Target="https://meteor-uat.aihw.gov.au/content/421105" TargetMode="External" Id="Rf98f8682aed64124" /><Relationship Type="http://schemas.openxmlformats.org/officeDocument/2006/relationships/hyperlink" Target="https://meteor-uat.aihw.gov.au/RegistrationAuthority/14" TargetMode="External" Id="Rccb20e23d5544065" /><Relationship Type="http://schemas.openxmlformats.org/officeDocument/2006/relationships/hyperlink" Target="https://meteor-uat.aihw.gov.au/content/396090" TargetMode="External" Id="R1e451e35b654456b" /><Relationship Type="http://schemas.openxmlformats.org/officeDocument/2006/relationships/hyperlink" Target="https://meteor-uat.aihw.gov.au/content/599620" TargetMode="External" Id="R0fbf54133f89498e" /><Relationship Type="http://schemas.openxmlformats.org/officeDocument/2006/relationships/hyperlink" Target="https://meteor-uat.aihw.gov.au/RegistrationAuthority/14" TargetMode="External" Id="Rbc8138d45a634cba" /><Relationship Type="http://schemas.openxmlformats.org/officeDocument/2006/relationships/hyperlink" Target="https://meteor-uat.aihw.gov.au/content/396090" TargetMode="External" Id="Radd605f07aa24015" /></Relationships>
</file>

<file path=word/_rels/header1.xml.rels>&#65279;<?xml version="1.0" encoding="utf-8"?><Relationships xmlns="http://schemas.openxmlformats.org/package/2006/relationships"><Relationship Type="http://schemas.openxmlformats.org/officeDocument/2006/relationships/image" Target="/media/image.png" Id="Rdd01746552734aa0" /></Relationships>
</file>