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0b9fe35e184d36" /></Relationships>
</file>

<file path=word/document.xml><?xml version="1.0" encoding="utf-8"?>
<w:document xmlns:r="http://schemas.openxmlformats.org/officeDocument/2006/relationships" xmlns:w="http://schemas.openxmlformats.org/wordprocessingml/2006/main">
  <w:body>
    <w:p>
      <w:pPr>
        <w:pStyle w:val="Title"/>
      </w:pPr>
      <w:r>
        <w:t>Person with cancer—extent of primary cancer, cervical cancer staging (FIGO)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cancer—extent of primary cancer, cervical cancer staging (FIGO)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FIGO cervical cancer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7d58a3b81b452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a primary cervical cancer as outlined by International Federation of Gynecology and Obstetrics (FIGO),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for women with cervical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1cb2d422884c3e">
              <w:r>
                <w:rPr>
                  <w:rStyle w:val="Hyperlink"/>
                </w:rPr>
                <w:t xml:space="preserve">Person with cancer—extent of primary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322902d4f74a3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extent of disease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c641c2d3ab4ad6">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1596c04f254ca9">
              <w:r>
                <w:rPr>
                  <w:rStyle w:val="Hyperlink"/>
                </w:rPr>
                <w:t xml:space="preserve">Extent of primary cancer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82ab49b8da4acc">
              <w:r>
                <w:rPr>
                  <w:rStyle w:val="Hyperlink"/>
                </w:rPr>
                <w:t xml:space="preserve">Cervical cancer staging (FIGO)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FIGO cervical cancer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7c943846bd4b0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International Federation of Gynecology and Obstetrics (FIGO) cancer stage values for cervical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bc9c32d85f44b10">
              <w:r>
                <w:rPr>
                  <w:rStyle w:val="Hyperlink"/>
                </w:rPr>
                <w:t xml:space="preserve">International Federation of Gynecology and Obstetrics cancer staging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Stage IA1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Stage IA2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Stage IB1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Stage IB2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Stage IIA1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Stage IIA2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Stage 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Stage IIIA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Stage IIIB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Stage IVA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Stage IVB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available/inadequately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Federation of Gynecology and Obstetrics (FIGO) stage according to 2009 definitions. Data on patients affected by Stage 0 disease is not collected.</w:t>
            </w:r>
          </w:p>
          <w:p>
            <w:pPr>
              <w:spacing w:after="160"/>
            </w:pPr>
            <w:r>
              <w:rPr>
                <w:rStyle w:val="row-content-rich-text"/>
                <w:b/>
              </w:rPr>
              <w:t xml:space="preserve">Stage I</w:t>
            </w:r>
            <w:r>
              <w:rPr>
                <w:rStyle w:val="row-content-rich-text"/>
              </w:rPr>
              <w:t xml:space="preserve">: the carcinoma is strictly confined to the cervix (extension to the corpus would be disregarded).</w:t>
            </w:r>
          </w:p>
          <w:p>
            <w:pPr>
              <w:spacing w:after="160"/>
            </w:pPr>
            <w:r>
              <w:rPr>
                <w:rStyle w:val="row-content-rich-text"/>
                <w:b/>
              </w:rPr>
              <w:t xml:space="preserve">Stage IA</w:t>
            </w:r>
            <w:r>
              <w:rPr>
                <w:rStyle w:val="row-content-rich-text"/>
              </w:rPr>
              <w:t xml:space="preserve">: invasive carcinoma that can be diagnosed only by microscopy, with deepest invasion less than or equal to 5 mm and largest extension less than or equal to 7 mm.</w:t>
            </w:r>
          </w:p>
          <w:p>
            <w:pPr>
              <w:spacing w:after="160"/>
            </w:pPr>
            <w:r>
              <w:rPr>
                <w:rStyle w:val="row-content-rich-text"/>
              </w:rPr>
              <w:t xml:space="preserve">CODE 1   Stage IA1</w:t>
            </w:r>
          </w:p>
          <w:p>
            <w:pPr>
              <w:spacing w:after="160"/>
            </w:pPr>
            <w:r>
              <w:rPr>
                <w:rStyle w:val="row-content-rich-text"/>
              </w:rPr>
              <w:t xml:space="preserve">Measured stromal invasion of less than or equal to 3.0 mm in depth and extension of less than or equal to 7.0 mm.</w:t>
            </w:r>
          </w:p>
          <w:p>
            <w:pPr>
              <w:spacing w:after="160"/>
            </w:pPr>
            <w:r>
              <w:rPr>
                <w:rStyle w:val="row-content-rich-text"/>
              </w:rPr>
              <w:t xml:space="preserve">CODE 2   Stage IA2</w:t>
            </w:r>
          </w:p>
          <w:p>
            <w:pPr>
              <w:spacing w:after="160"/>
            </w:pPr>
            <w:r>
              <w:rPr>
                <w:rStyle w:val="row-content-rich-text"/>
              </w:rPr>
              <w:t xml:space="preserve">Measured stromal invasion of greater than 3.0 mm and less than 5.0 mm with an extension of not more than 7.0 mm.</w:t>
            </w:r>
          </w:p>
          <w:p>
            <w:pPr>
              <w:spacing w:after="160"/>
            </w:pPr>
            <w:r>
              <w:rPr>
                <w:rStyle w:val="row-content-rich-text"/>
                <w:b/>
              </w:rPr>
              <w:t xml:space="preserve">Stage IB</w:t>
            </w:r>
            <w:r>
              <w:rPr>
                <w:rStyle w:val="row-content-rich-text"/>
              </w:rPr>
              <w:t xml:space="preserve">: clinically visible lesions limited to the cervix uteri or preclinical cancers greater than stage IA.</w:t>
            </w:r>
          </w:p>
          <w:p>
            <w:pPr>
              <w:spacing w:after="160"/>
            </w:pPr>
            <w:r>
              <w:rPr>
                <w:rStyle w:val="row-content-rich-text"/>
              </w:rPr>
              <w:t xml:space="preserve">CODE 3   Stage IB1</w:t>
            </w:r>
          </w:p>
          <w:p>
            <w:pPr>
              <w:spacing w:after="160"/>
            </w:pPr>
            <w:r>
              <w:rPr>
                <w:rStyle w:val="row-content-rich-text"/>
              </w:rPr>
              <w:t xml:space="preserve">Clinically visible lesion less than or equal to 4.0 cm in greatest dimension.</w:t>
            </w:r>
          </w:p>
          <w:p>
            <w:pPr>
              <w:spacing w:after="160"/>
            </w:pPr>
            <w:r>
              <w:rPr>
                <w:rStyle w:val="row-content-rich-text"/>
              </w:rPr>
              <w:t xml:space="preserve">CODE 4   Stage IB2</w:t>
            </w:r>
          </w:p>
          <w:p>
            <w:pPr>
              <w:spacing w:after="160"/>
            </w:pPr>
            <w:r>
              <w:rPr>
                <w:rStyle w:val="row-content-rich-text"/>
              </w:rPr>
              <w:t xml:space="preserve">Clinically visible lesion greater than 4.0 cm in greatest dimension.</w:t>
            </w:r>
          </w:p>
          <w:p>
            <w:pPr>
              <w:spacing w:after="160"/>
            </w:pPr>
            <w:r>
              <w:rPr>
                <w:rStyle w:val="row-content-rich-text"/>
                <w:b/>
              </w:rPr>
              <w:t xml:space="preserve">Stage II</w:t>
            </w:r>
            <w:r>
              <w:rPr>
                <w:rStyle w:val="row-content-rich-text"/>
              </w:rPr>
              <w:t xml:space="preserve">: cervical carcinoma invades beyond the uterus, but not to the pelvic wall or to the lower third of the vagina.</w:t>
            </w:r>
          </w:p>
          <w:p>
            <w:pPr>
              <w:spacing w:after="160"/>
            </w:pPr>
            <w:r>
              <w:rPr>
                <w:rStyle w:val="row-content-rich-text"/>
                <w:b/>
              </w:rPr>
              <w:t xml:space="preserve">Stage IIA:</w:t>
            </w:r>
            <w:r>
              <w:rPr>
                <w:rStyle w:val="row-content-rich-text"/>
              </w:rPr>
              <w:t xml:space="preserve"> without parametrial invasion.</w:t>
            </w:r>
          </w:p>
          <w:p>
            <w:pPr>
              <w:spacing w:after="160"/>
            </w:pPr>
            <w:r>
              <w:rPr>
                <w:rStyle w:val="row-content-rich-text"/>
              </w:rPr>
              <w:t xml:space="preserve">CODE 5   Stage IIA1</w:t>
            </w:r>
          </w:p>
          <w:p>
            <w:pPr>
              <w:spacing w:after="160"/>
            </w:pPr>
            <w:r>
              <w:rPr>
                <w:rStyle w:val="row-content-rich-text"/>
              </w:rPr>
              <w:t xml:space="preserve">Clinically visible lesion less than or equal to 4.0 cm in greatest dimension.</w:t>
            </w:r>
          </w:p>
          <w:p>
            <w:pPr>
              <w:spacing w:after="160"/>
            </w:pPr>
            <w:r>
              <w:rPr>
                <w:rStyle w:val="row-content-rich-text"/>
              </w:rPr>
              <w:t xml:space="preserve">CODE 6   Stage IIA2</w:t>
            </w:r>
          </w:p>
          <w:p>
            <w:pPr>
              <w:spacing w:after="160"/>
            </w:pPr>
            <w:r>
              <w:rPr>
                <w:rStyle w:val="row-content-rich-text"/>
              </w:rPr>
              <w:t xml:space="preserve">Clinically visible lesion greater than 4.0 cm in greatest dimension.</w:t>
            </w:r>
          </w:p>
          <w:p>
            <w:pPr>
              <w:spacing w:after="160"/>
            </w:pPr>
            <w:r>
              <w:rPr>
                <w:rStyle w:val="row-content-rich-text"/>
              </w:rPr>
              <w:t xml:space="preserve">CODE 7   Stage IIB</w:t>
            </w:r>
          </w:p>
          <w:p>
            <w:pPr>
              <w:spacing w:after="160"/>
            </w:pPr>
            <w:r>
              <w:rPr>
                <w:rStyle w:val="row-content-rich-text"/>
              </w:rPr>
              <w:t xml:space="preserve">With obvious parametrial invasion.</w:t>
            </w:r>
          </w:p>
          <w:p>
            <w:pPr>
              <w:spacing w:after="160"/>
            </w:pPr>
            <w:r>
              <w:rPr>
                <w:rStyle w:val="row-content-rich-text"/>
                <w:b/>
              </w:rPr>
              <w:t xml:space="preserve">Stage III</w:t>
            </w:r>
            <w:r>
              <w:rPr>
                <w:rStyle w:val="row-content-rich-text"/>
              </w:rPr>
              <w:t xml:space="preserve">: the tumour extends to the pelvic wall and/or involves lower third of the vagina and/or causes hydronephrosis or non-functioning kidney.</w:t>
            </w:r>
          </w:p>
          <w:p>
            <w:pPr>
              <w:spacing w:after="160"/>
            </w:pPr>
            <w:r>
              <w:rPr>
                <w:rStyle w:val="row-content-rich-text"/>
              </w:rPr>
              <w:t xml:space="preserve">CODE 8   Stage IIIA</w:t>
            </w:r>
          </w:p>
          <w:p>
            <w:pPr>
              <w:spacing w:after="160"/>
            </w:pPr>
            <w:r>
              <w:rPr>
                <w:rStyle w:val="row-content-rich-text"/>
              </w:rPr>
              <w:t xml:space="preserve">Tumour involves lower third of the vagina, with no extension to the pelvic wall.</w:t>
            </w:r>
          </w:p>
          <w:p>
            <w:pPr>
              <w:spacing w:after="160"/>
            </w:pPr>
            <w:r>
              <w:rPr>
                <w:rStyle w:val="row-content-rich-text"/>
              </w:rPr>
              <w:t xml:space="preserve">CODE 9   Stage IIIB</w:t>
            </w:r>
          </w:p>
          <w:p>
            <w:pPr>
              <w:spacing w:after="160"/>
            </w:pPr>
            <w:r>
              <w:rPr>
                <w:rStyle w:val="row-content-rich-text"/>
              </w:rPr>
              <w:t xml:space="preserve">Extension to the pelvic wall and/or hydronephrosis or non-functioning kidney.</w:t>
            </w:r>
          </w:p>
          <w:p>
            <w:pPr>
              <w:spacing w:after="160"/>
            </w:pPr>
            <w:r>
              <w:rPr>
                <w:rStyle w:val="row-content-rich-text"/>
                <w:b/>
              </w:rPr>
              <w:t xml:space="preserve">Stage IV</w:t>
            </w:r>
            <w:r>
              <w:rPr>
                <w:rStyle w:val="row-content-rich-text"/>
              </w:rPr>
              <w:t xml:space="preserve">: the carcinoma has extended beyond the true pelvis or has involved (biopsy proven) the mucosa of the bladder or rectum. A bullous oedema, as such, does not permit a case to be allotted to Stage IV.</w:t>
            </w:r>
          </w:p>
          <w:p>
            <w:pPr>
              <w:spacing w:after="160"/>
            </w:pPr>
            <w:r>
              <w:rPr>
                <w:rStyle w:val="row-content-rich-text"/>
              </w:rPr>
              <w:t xml:space="preserve">CODE 10   Stage IVA</w:t>
            </w:r>
          </w:p>
          <w:p>
            <w:pPr>
              <w:spacing w:after="160"/>
            </w:pPr>
            <w:r>
              <w:rPr>
                <w:rStyle w:val="row-content-rich-text"/>
              </w:rPr>
              <w:t xml:space="preserve">Spread of the growth to adjacent organs.</w:t>
            </w:r>
          </w:p>
          <w:p>
            <w:pPr>
              <w:spacing w:after="160"/>
            </w:pPr>
            <w:r>
              <w:rPr>
                <w:rStyle w:val="row-content-rich-text"/>
              </w:rPr>
              <w:t xml:space="preserve">CODE 11   Stage IVB</w:t>
            </w:r>
          </w:p>
          <w:p>
            <w:pPr/>
            <w:r>
              <w:rPr>
                <w:rStyle w:val="row-content-rich-text"/>
              </w:rPr>
              <w:t xml:space="preserve">Spread to distant organs.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Mutch, D G (2009). The new FIGO staging system for cancers of the vulva, cervix, endometrium and sarcomas. Gynecologic Oncology. 115: 325–328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extent of the primary cervical cancer as outlined by the International Federation of Gynecology and Obstetrics (FIGO) stage. This should be filled out according to 2009 definitions.  Data on patients affected by Stage 0 disease is not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sought from pathology reports or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Mutch, D G (2009). The new FIGO staging system for cancers of the vulva, cervix, endometrium and sarcomas. </w:t>
            </w:r>
            <w:r>
              <w:rPr>
                <w:rStyle w:val="row-content-rich-text"/>
                <w:i/>
              </w:rPr>
              <w:t xml:space="preserve">Gynecologic Oncology.</w:t>
            </w:r>
            <w:r>
              <w:rPr>
                <w:rStyle w:val="row-content-rich-text"/>
              </w:rPr>
              <w:t xml:space="preserve"> 115: 325–328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9a465e412d4256">
              <w:r>
                <w:rPr>
                  <w:rStyle w:val="Hyperlink"/>
                </w:rPr>
                <w:t xml:space="preserve">Gynaecological cancer (clinical) DSS</w:t>
              </w:r>
            </w:hyperlink>
          </w:p>
          <w:p>
            <w:pPr>
              <w:pStyle w:val="registration-status"/>
              <w:spacing w:before="0" w:after="0"/>
            </w:pPr>
            <w:hyperlink w:history="true" r:id="R1798b1c7e74a4881">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with cervical cancer, as indicated by </w:t>
            </w:r>
            <w:hyperlink w:history="true" r:id="Rcab5668f8b4041df">
              <w:r>
                <w:rPr>
                  <w:rStyle w:val="Hyperlink"/>
                </w:rPr>
                <w:t xml:space="preserve">Person with cancer—primary site of cancer, topography code (ICD-O-3) ANN.N</w:t>
              </w:r>
            </w:hyperlink>
            <w:r>
              <w:rPr>
                <w:rStyle w:val="row-content"/>
              </w:rPr>
              <w:t xml:space="preserve">.</w:t>
            </w:r>
            <w:r>
              <w:br/>
            </w:r>
            <w:r>
              <w:br/>
            </w:r>
            <w:hyperlink w:history="true" r:id="Rdd1d7ec74c1b4786">
              <w:r>
                <w:rPr>
                  <w:rStyle w:val="Hyperlink"/>
                </w:rPr>
                <w:t xml:space="preserve">Gynaecological cancer (clinical) NBPDS</w:t>
              </w:r>
            </w:hyperlink>
          </w:p>
          <w:p>
            <w:pPr>
              <w:pStyle w:val="registration-status"/>
              <w:spacing w:before="0" w:after="0"/>
            </w:pPr>
            <w:hyperlink w:history="true" r:id="Rc308fcc4baa341f2">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with cervical cancer, as indicated by </w:t>
            </w:r>
            <w:hyperlink w:history="true" r:id="R74055bdcb8564739">
              <w:r>
                <w:rPr>
                  <w:rStyle w:val="Hyperlink"/>
                </w:rPr>
                <w:t xml:space="preserve">Person with cancer—primary site of cancer, topography code (ICD-O-3) ANN.N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b19e079cbc6043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424190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8fec592f9642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9e079cbc60437e" /><Relationship Type="http://schemas.openxmlformats.org/officeDocument/2006/relationships/header" Target="/word/header1.xml" Id="Rff236b533f11448e" /><Relationship Type="http://schemas.openxmlformats.org/officeDocument/2006/relationships/settings" Target="/word/settings.xml" Id="R602cded62d924565" /><Relationship Type="http://schemas.openxmlformats.org/officeDocument/2006/relationships/styles" Target="/word/styles.xml" Id="R00cbdad819294dcf" /><Relationship Type="http://schemas.openxmlformats.org/officeDocument/2006/relationships/hyperlink" Target="https://meteor-uat.aihw.gov.au/RegistrationAuthority/14" TargetMode="External" Id="R8c7d58a3b81b4529" /><Relationship Type="http://schemas.openxmlformats.org/officeDocument/2006/relationships/hyperlink" Target="https://meteor-uat.aihw.gov.au/content/416363" TargetMode="External" Id="R771cb2d422884c3e" /><Relationship Type="http://schemas.openxmlformats.org/officeDocument/2006/relationships/hyperlink" Target="https://meteor-uat.aihw.gov.au/RegistrationAuthority/14" TargetMode="External" Id="R83322902d4f74a34" /><Relationship Type="http://schemas.openxmlformats.org/officeDocument/2006/relationships/hyperlink" Target="https://meteor-uat.aihw.gov.au/content/268990" TargetMode="External" Id="Rcdc641c2d3ab4ad6" /><Relationship Type="http://schemas.openxmlformats.org/officeDocument/2006/relationships/hyperlink" Target="https://meteor-uat.aihw.gov.au/content/296911" TargetMode="External" Id="R221596c04f254ca9" /><Relationship Type="http://schemas.openxmlformats.org/officeDocument/2006/relationships/hyperlink" Target="https://meteor-uat.aihw.gov.au/content/424187" TargetMode="External" Id="R8a82ab49b8da4acc" /><Relationship Type="http://schemas.openxmlformats.org/officeDocument/2006/relationships/hyperlink" Target="https://meteor-uat.aihw.gov.au/RegistrationAuthority/14" TargetMode="External" Id="Rf97c943846bd4b0c" /><Relationship Type="http://schemas.openxmlformats.org/officeDocument/2006/relationships/hyperlink" Target="https://meteor-uat.aihw.gov.au/content/531364" TargetMode="External" Id="R7bc9c32d85f44b10" /><Relationship Type="http://schemas.openxmlformats.org/officeDocument/2006/relationships/hyperlink" Target="https://meteor-uat.aihw.gov.au/content/421105" TargetMode="External" Id="R8e9a465e412d4256" /><Relationship Type="http://schemas.openxmlformats.org/officeDocument/2006/relationships/hyperlink" Target="https://meteor-uat.aihw.gov.au/RegistrationAuthority/14" TargetMode="External" Id="R1798b1c7e74a4881" /><Relationship Type="http://schemas.openxmlformats.org/officeDocument/2006/relationships/hyperlink" Target="https://meteor-uat.aihw.gov.au/content/396090" TargetMode="External" Id="Rcab5668f8b4041df" /><Relationship Type="http://schemas.openxmlformats.org/officeDocument/2006/relationships/hyperlink" Target="https://meteor-uat.aihw.gov.au/content/599620" TargetMode="External" Id="Rdd1d7ec74c1b4786" /><Relationship Type="http://schemas.openxmlformats.org/officeDocument/2006/relationships/hyperlink" Target="https://meteor-uat.aihw.gov.au/RegistrationAuthority/14" TargetMode="External" Id="Rc308fcc4baa341f2" /><Relationship Type="http://schemas.openxmlformats.org/officeDocument/2006/relationships/hyperlink" Target="https://meteor-uat.aihw.gov.au/content/396090" TargetMode="External" Id="R74055bdcb8564739" /></Relationships>
</file>

<file path=word/_rels/header1.xml.rels>&#65279;<?xml version="1.0" encoding="utf-8"?><Relationships xmlns="http://schemas.openxmlformats.org/package/2006/relationships"><Relationship Type="http://schemas.openxmlformats.org/officeDocument/2006/relationships/image" Target="/media/image.png" Id="R538fec592f964217" /></Relationships>
</file>