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5c6cff2de496a"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Laterality of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058e4e6f0476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side of a paired organ that is the origin of the primary cancer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3f441e7be849f5">
              <w:r>
                <w:rPr>
                  <w:rStyle w:val="Hyperlink"/>
                </w:rPr>
                <w:t xml:space="preserve">Person with cancer—laterality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bd1d29ecc4e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Laterality describes which side of a paired organ is the origin of the primary cancer. Each side of a paired organ is considered separately and described as lateral when occurring unless a physician determines that it is bilateral.</w:t>
            </w:r>
          </w:p>
          <w:p>
            <w:pPr/>
            <w:r>
              <w:rPr>
                <w:rStyle w:val="row-content-rich-text"/>
              </w:rPr>
              <w:t xml:space="preserve">A paired organ is one in which there are two separate organs of the same kind, one on either side of the body (e.g. kidney, breast, ovary, testis and 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for the purpose of differentiating the site of the primary cancer. For example, a woman may present with a primary cancer in the left breast. She may return at a later stage with a new primary cancer in the right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410129bd2547f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ed293ae42648b4">
              <w:r>
                <w:rPr>
                  <w:rStyle w:val="Hyperlink"/>
                </w:rPr>
                <w:t xml:space="preserve">Laterality of primary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e0722301904b72">
              <w:r>
                <w:rPr>
                  <w:rStyle w:val="Hyperlink"/>
                </w:rPr>
                <w:t xml:space="preserve">Laterality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c1c60f01094ec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laterality.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at the time of diagnosis.</w:t>
            </w:r>
          </w:p>
          <w:p>
            <w:pPr>
              <w:spacing w:after="160"/>
            </w:pPr>
            <w:r>
              <w:rPr>
                <w:rStyle w:val="row-content-rich-text"/>
                <w:b/>
                <w:u w:val="single"/>
              </w:rPr>
              <w:t xml:space="preserve">Definitions</w:t>
            </w:r>
          </w:p>
          <w:p>
            <w:pPr>
              <w:spacing w:after="160"/>
            </w:pPr>
            <w:r>
              <w:rPr>
                <w:rStyle w:val="row-content-rich-text"/>
                <w:b/>
              </w:rPr>
              <w:t xml:space="preserve">Right:</w:t>
            </w:r>
            <w:r>
              <w:rPr>
                <w:rStyle w:val="row-content-rich-text"/>
              </w:rPr>
              <w:t xml:space="preserve"> </w:t>
            </w:r>
          </w:p>
          <w:p>
            <w:pPr>
              <w:spacing w:after="160"/>
            </w:pPr>
            <w:r>
              <w:rPr>
                <w:rStyle w:val="row-content-rich-text"/>
              </w:rPr>
              <w:t xml:space="preserve">Origin of primary site is on the right side of a paired organ.</w:t>
            </w:r>
          </w:p>
          <w:p>
            <w:pPr>
              <w:spacing w:after="160"/>
            </w:pPr>
            <w:r>
              <w:rPr>
                <w:rStyle w:val="row-content-rich-text"/>
                <w:b/>
              </w:rPr>
              <w:t xml:space="preserve">Left: </w:t>
            </w:r>
            <w:r>
              <w:rPr>
                <w:rStyle w:val="row-content-rich-text"/>
              </w:rPr>
              <w:t xml:space="preserve">  </w:t>
            </w:r>
          </w:p>
          <w:p>
            <w:pPr>
              <w:spacing w:after="160"/>
            </w:pPr>
            <w:r>
              <w:rPr>
                <w:rStyle w:val="row-content-rich-text"/>
              </w:rPr>
              <w:t xml:space="preserve">Origin of primary site is on the left side of a paired organ.</w:t>
            </w:r>
          </w:p>
          <w:p>
            <w:pPr>
              <w:spacing w:after="160"/>
            </w:pPr>
            <w:r>
              <w:rPr>
                <w:rStyle w:val="row-content-rich-text"/>
                <w:b/>
              </w:rPr>
              <w:t xml:space="preserve">Bilateral: </w:t>
            </w:r>
          </w:p>
          <w:p>
            <w:pPr>
              <w:spacing w:after="160"/>
            </w:pPr>
            <w:r>
              <w:rPr>
                <w:rStyle w:val="row-content-rich-text"/>
              </w:rPr>
              <w:t xml:space="preserve">Origin of primary site is on both sides of a paired organ. (When tumours of the same morphology are diagnosed simultaneously in both sides of a paired organ.)</w:t>
            </w:r>
          </w:p>
          <w:p>
            <w:pPr>
              <w:spacing w:after="160"/>
            </w:pPr>
            <w:r>
              <w:rPr>
                <w:rStyle w:val="row-content-rich-text"/>
              </w:rPr>
              <w:t xml:space="preserve">Includes organs that are bilateral as a single primary (e.g. bilateral retinoblastoma (M9510/3, C69.2), (M9511/3, C69.2), (M9512/3, C69.2), (C69.6, C48.0), bilateral Wilms tumours (C64.9, M8960/3))</w:t>
            </w:r>
          </w:p>
          <w:p>
            <w:pPr>
              <w:spacing w:after="160"/>
            </w:pPr>
            <w:r>
              <w:rPr>
                <w:rStyle w:val="row-content-rich-text"/>
              </w:rPr>
              <w:t xml:space="preserve">Note: Bilateral cancers are very rare.</w:t>
            </w:r>
          </w:p>
          <w:p>
            <w:pPr>
              <w:spacing w:after="160"/>
            </w:pPr>
            <w:r>
              <w:rPr>
                <w:rStyle w:val="row-content-rich-text"/>
                <w:b/>
              </w:rPr>
              <w:t xml:space="preserve">Unknown: </w:t>
            </w:r>
            <w:r>
              <w:rPr>
                <w:rStyle w:val="row-content-rich-text"/>
              </w:rPr>
              <w:t xml:space="preserve"> </w:t>
            </w:r>
          </w:p>
          <w:p>
            <w:pPr>
              <w:spacing w:after="160"/>
            </w:pPr>
            <w:r>
              <w:rPr>
                <w:rStyle w:val="row-content-rich-text"/>
              </w:rPr>
              <w:t xml:space="preserve">It is unknown whether, for a paired organ the origin of the cancer was on the left or right side of the body.</w:t>
            </w:r>
          </w:p>
          <w:p>
            <w:pPr>
              <w:spacing w:after="160"/>
            </w:pPr>
            <w:r>
              <w:rPr>
                <w:rStyle w:val="row-content-rich-text"/>
                <w:b/>
                <w:u w:val="single"/>
              </w:rPr>
              <w:t xml:space="preserve">Paired organs and structures</w:t>
            </w:r>
          </w:p>
          <w:p>
            <w:pPr>
              <w:spacing w:after="160"/>
            </w:pPr>
            <w:r>
              <w:rPr>
                <w:rStyle w:val="row-content-rich-text"/>
              </w:rPr>
              <w:t xml:space="preserve">The valid International Classification of Diseases for Oncology values for paired organs are provided in the list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C02.4</w:t>
                  </w:r>
                </w:p>
              </w:tc>
              <w:tc>
                <w:tcPr>
                  <w:tcW w:w="4000" w:type="pct"/>
                  <w:vAlign w:val="top"/>
                </w:tcPr>
                <w:p>
                  <w:r>
                    <w:t xml:space="preserve">Lingual tonsil</w:t>
                  </w:r>
                </w:p>
              </w:tc>
            </w:tr>
            <w:tr>
              <w:trPr/>
              <w:tc>
                <w:tcPr>
                  <w:tcW w:w="1000" w:type="pct"/>
                  <w:vAlign w:val="top"/>
                </w:tcPr>
                <w:p>
                  <w:r>
                    <w:t xml:space="preserve">C07.9</w:t>
                  </w:r>
                </w:p>
              </w:tc>
              <w:tc>
                <w:tcPr>
                  <w:tcW w:w="4000" w:type="pct"/>
                  <w:vAlign w:val="top"/>
                </w:tcPr>
                <w:p>
                  <w:r>
                    <w:t xml:space="preserve">Parotid gland</w:t>
                  </w:r>
                </w:p>
              </w:tc>
            </w:tr>
            <w:tr>
              <w:trPr/>
              <w:tc>
                <w:tcPr>
                  <w:tcW w:w="1000" w:type="pct"/>
                  <w:vAlign w:val="top"/>
                </w:tcPr>
                <w:p>
                  <w:r>
                    <w:t xml:space="preserve">C08.0</w:t>
                  </w:r>
                </w:p>
              </w:tc>
              <w:tc>
                <w:tcPr>
                  <w:tcW w:w="4000" w:type="pct"/>
                  <w:vAlign w:val="top"/>
                </w:tcPr>
                <w:p>
                  <w:r>
                    <w:t xml:space="preserve">Submandibular gland</w:t>
                  </w:r>
                </w:p>
              </w:tc>
            </w:tr>
            <w:tr>
              <w:trPr/>
              <w:tc>
                <w:tcPr>
                  <w:tcW w:w="1000" w:type="pct"/>
                  <w:vAlign w:val="top"/>
                </w:tcPr>
                <w:p>
                  <w:r>
                    <w:t xml:space="preserve">C08.1</w:t>
                  </w:r>
                </w:p>
              </w:tc>
              <w:tc>
                <w:tcPr>
                  <w:tcW w:w="4000" w:type="pct"/>
                  <w:vAlign w:val="top"/>
                </w:tcPr>
                <w:p>
                  <w:r>
                    <w:t xml:space="preserve">Sublingual gland</w:t>
                  </w:r>
                </w:p>
              </w:tc>
            </w:tr>
            <w:tr>
              <w:trPr/>
              <w:tc>
                <w:tcPr>
                  <w:tcW w:w="1000" w:type="pct"/>
                  <w:vAlign w:val="top"/>
                </w:tcPr>
                <w:p>
                  <w:r>
                    <w:t xml:space="preserve">C09.0</w:t>
                  </w:r>
                </w:p>
              </w:tc>
              <w:tc>
                <w:tcPr>
                  <w:tcW w:w="4000" w:type="pct"/>
                  <w:vAlign w:val="top"/>
                </w:tcPr>
                <w:p>
                  <w:r>
                    <w:t xml:space="preserve">Tonsillar fossa</w:t>
                  </w:r>
                </w:p>
              </w:tc>
            </w:tr>
            <w:tr>
              <w:trPr/>
              <w:tc>
                <w:tcPr>
                  <w:tcW w:w="1000" w:type="pct"/>
                  <w:vAlign w:val="top"/>
                </w:tcPr>
                <w:p>
                  <w:r>
                    <w:t xml:space="preserve">C09.1</w:t>
                  </w:r>
                </w:p>
              </w:tc>
              <w:tc>
                <w:tcPr>
                  <w:tcW w:w="4000" w:type="pct"/>
                  <w:vAlign w:val="top"/>
                </w:tcPr>
                <w:p>
                  <w:r>
                    <w:t xml:space="preserve">Tonsillar pillar</w:t>
                  </w:r>
                </w:p>
              </w:tc>
            </w:tr>
            <w:tr>
              <w:trPr/>
              <w:tc>
                <w:tcPr>
                  <w:tcW w:w="1000" w:type="pct"/>
                  <w:vAlign w:val="top"/>
                </w:tcPr>
                <w:p>
                  <w:r>
                    <w:t xml:space="preserve">C09.8</w:t>
                  </w:r>
                </w:p>
              </w:tc>
              <w:tc>
                <w:tcPr>
                  <w:tcW w:w="4000" w:type="pct"/>
                  <w:vAlign w:val="top"/>
                </w:tcPr>
                <w:p>
                  <w:r>
                    <w:t xml:space="preserve">Overlapping lesion of tonsil</w:t>
                  </w:r>
                </w:p>
              </w:tc>
            </w:tr>
            <w:tr>
              <w:trPr/>
              <w:tc>
                <w:tcPr>
                  <w:tcW w:w="1000" w:type="pct"/>
                  <w:vAlign w:val="top"/>
                </w:tcPr>
                <w:p>
                  <w:r>
                    <w:t xml:space="preserve">C09.9</w:t>
                  </w:r>
                </w:p>
              </w:tc>
              <w:tc>
                <w:tcPr>
                  <w:tcW w:w="4000" w:type="pct"/>
                  <w:vAlign w:val="top"/>
                </w:tcPr>
                <w:p>
                  <w:r>
                    <w:t xml:space="preserve">Tonsil, NOS</w:t>
                  </w:r>
                </w:p>
              </w:tc>
            </w:tr>
            <w:tr>
              <w:trPr/>
              <w:tc>
                <w:tcPr>
                  <w:tcW w:w="1000" w:type="pct"/>
                  <w:vAlign w:val="top"/>
                </w:tcPr>
                <w:p>
                  <w:r>
                    <w:t xml:space="preserve">C11.1</w:t>
                  </w:r>
                </w:p>
              </w:tc>
              <w:tc>
                <w:tcPr>
                  <w:tcW w:w="4000" w:type="pct"/>
                  <w:vAlign w:val="top"/>
                </w:tcPr>
                <w:p>
                  <w:r>
                    <w:t xml:space="preserve">Posterior wall of nasopharynx</w:t>
                  </w:r>
                </w:p>
              </w:tc>
            </w:tr>
            <w:tr>
              <w:trPr/>
              <w:tc>
                <w:tcPr>
                  <w:tcW w:w="1000" w:type="pct"/>
                  <w:vAlign w:val="top"/>
                </w:tcPr>
                <w:p>
                  <w:r>
                    <w:t xml:space="preserve">C30.0</w:t>
                  </w:r>
                </w:p>
              </w:tc>
              <w:tc>
                <w:tcPr>
                  <w:tcW w:w="4000" w:type="pct"/>
                  <w:vAlign w:val="top"/>
                </w:tcPr>
                <w:p>
                  <w:r>
                    <w:t xml:space="preserve">Nasal cavity (excluding nasal cartilage and nasal septum)</w:t>
                  </w:r>
                </w:p>
              </w:tc>
            </w:tr>
            <w:tr>
              <w:trPr/>
              <w:tc>
                <w:tcPr>
                  <w:tcW w:w="1000" w:type="pct"/>
                  <w:vAlign w:val="top"/>
                </w:tcPr>
                <w:p>
                  <w:r>
                    <w:t xml:space="preserve">C30.1</w:t>
                  </w:r>
                </w:p>
              </w:tc>
              <w:tc>
                <w:tcPr>
                  <w:tcW w:w="4000" w:type="pct"/>
                  <w:vAlign w:val="top"/>
                </w:tcPr>
                <w:p>
                  <w:r>
                    <w:t xml:space="preserve">Middle ear</w:t>
                  </w:r>
                </w:p>
              </w:tc>
            </w:tr>
            <w:tr>
              <w:trPr/>
              <w:tc>
                <w:tcPr>
                  <w:tcW w:w="1000" w:type="pct"/>
                  <w:vAlign w:val="top"/>
                </w:tcPr>
                <w:p>
                  <w:r>
                    <w:t xml:space="preserve">C31.0</w:t>
                  </w:r>
                </w:p>
              </w:tc>
              <w:tc>
                <w:tcPr>
                  <w:tcW w:w="4000" w:type="pct"/>
                  <w:vAlign w:val="top"/>
                </w:tcPr>
                <w:p>
                  <w:r>
                    <w:t xml:space="preserve">Maxillary sinus</w:t>
                  </w:r>
                </w:p>
              </w:tc>
            </w:tr>
            <w:tr>
              <w:trPr/>
              <w:tc>
                <w:tcPr>
                  <w:tcW w:w="1000" w:type="pct"/>
                  <w:vAlign w:val="top"/>
                </w:tcPr>
                <w:p>
                  <w:r>
                    <w:t xml:space="preserve">C31.2</w:t>
                  </w:r>
                </w:p>
              </w:tc>
              <w:tc>
                <w:tcPr>
                  <w:tcW w:w="4000" w:type="pct"/>
                  <w:vAlign w:val="top"/>
                </w:tcPr>
                <w:p>
                  <w:r>
                    <w:t xml:space="preserve">Frontal sinus</w:t>
                  </w:r>
                </w:p>
              </w:tc>
            </w:tr>
            <w:tr>
              <w:trPr/>
              <w:tc>
                <w:tcPr>
                  <w:tcW w:w="1000" w:type="pct"/>
                  <w:vAlign w:val="top"/>
                </w:tcPr>
                <w:p>
                  <w:r>
                    <w:t xml:space="preserve">C34.0</w:t>
                  </w:r>
                </w:p>
              </w:tc>
              <w:tc>
                <w:tcPr>
                  <w:tcW w:w="4000" w:type="pct"/>
                  <w:vAlign w:val="top"/>
                </w:tcPr>
                <w:p>
                  <w:r>
                    <w:t xml:space="preserve">Main bronchus (excluding carina)</w:t>
                  </w:r>
                </w:p>
              </w:tc>
            </w:tr>
            <w:tr>
              <w:trPr/>
              <w:tc>
                <w:tcPr>
                  <w:tcW w:w="1000" w:type="pct"/>
                  <w:vAlign w:val="top"/>
                </w:tcPr>
                <w:p>
                  <w:r>
                    <w:t xml:space="preserve">C34.1-C34.9</w:t>
                  </w:r>
                </w:p>
              </w:tc>
              <w:tc>
                <w:tcPr>
                  <w:tcW w:w="4000" w:type="pct"/>
                  <w:vAlign w:val="top"/>
                </w:tcPr>
                <w:p>
                  <w:r>
                    <w:t xml:space="preserve">Lung</w:t>
                  </w:r>
                </w:p>
              </w:tc>
            </w:tr>
            <w:tr>
              <w:trPr/>
              <w:tc>
                <w:tcPr>
                  <w:tcW w:w="1000" w:type="pct"/>
                  <w:vAlign w:val="top"/>
                </w:tcPr>
                <w:p>
                  <w:r>
                    <w:t xml:space="preserve">C38.4</w:t>
                  </w:r>
                </w:p>
              </w:tc>
              <w:tc>
                <w:tcPr>
                  <w:tcW w:w="4000" w:type="pct"/>
                  <w:vAlign w:val="top"/>
                </w:tcPr>
                <w:p>
                  <w:r>
                    <w:t xml:space="preserve">Pleura</w:t>
                  </w:r>
                </w:p>
              </w:tc>
            </w:tr>
            <w:tr>
              <w:trPr/>
              <w:tc>
                <w:tcPr>
                  <w:tcW w:w="1000" w:type="pct"/>
                  <w:vAlign w:val="top"/>
                </w:tcPr>
                <w:p>
                  <w:r>
                    <w:t xml:space="preserve">C40.0</w:t>
                  </w:r>
                </w:p>
              </w:tc>
              <w:tc>
                <w:tcPr>
                  <w:tcW w:w="4000" w:type="pct"/>
                  <w:vAlign w:val="top"/>
                </w:tcPr>
                <w:p>
                  <w:r>
                    <w:t xml:space="preserve">Long bones of upper limb and scapula</w:t>
                  </w:r>
                </w:p>
              </w:tc>
            </w:tr>
            <w:tr>
              <w:trPr/>
              <w:tc>
                <w:tcPr>
                  <w:tcW w:w="1000" w:type="pct"/>
                  <w:vAlign w:val="top"/>
                </w:tcPr>
                <w:p>
                  <w:r>
                    <w:t xml:space="preserve">C40.1</w:t>
                  </w:r>
                </w:p>
              </w:tc>
              <w:tc>
                <w:tcPr>
                  <w:tcW w:w="4000" w:type="pct"/>
                  <w:vAlign w:val="top"/>
                </w:tcPr>
                <w:p>
                  <w:r>
                    <w:t xml:space="preserve">Short bones of upper limb</w:t>
                  </w:r>
                </w:p>
              </w:tc>
            </w:tr>
            <w:tr>
              <w:trPr/>
              <w:tc>
                <w:tcPr>
                  <w:tcW w:w="1000" w:type="pct"/>
                  <w:vAlign w:val="top"/>
                </w:tcPr>
                <w:p>
                  <w:r>
                    <w:t xml:space="preserve">C40.2</w:t>
                  </w:r>
                </w:p>
              </w:tc>
              <w:tc>
                <w:tcPr>
                  <w:tcW w:w="4000" w:type="pct"/>
                  <w:vAlign w:val="top"/>
                </w:tcPr>
                <w:p>
                  <w:r>
                    <w:t xml:space="preserve">Long bones of lower limb</w:t>
                  </w:r>
                </w:p>
              </w:tc>
            </w:tr>
            <w:tr>
              <w:trPr/>
              <w:tc>
                <w:tcPr>
                  <w:tcW w:w="1000" w:type="pct"/>
                  <w:vAlign w:val="top"/>
                </w:tcPr>
                <w:p>
                  <w:r>
                    <w:t xml:space="preserve">C40.3</w:t>
                  </w:r>
                </w:p>
              </w:tc>
              <w:tc>
                <w:tcPr>
                  <w:tcW w:w="4000" w:type="pct"/>
                  <w:vAlign w:val="top"/>
                </w:tcPr>
                <w:p>
                  <w:r>
                    <w:t xml:space="preserve">Short bones of lower limb</w:t>
                  </w:r>
                </w:p>
              </w:tc>
            </w:tr>
            <w:tr>
              <w:trPr/>
              <w:tc>
                <w:tcPr>
                  <w:tcW w:w="1000" w:type="pct"/>
                  <w:vAlign w:val="top"/>
                </w:tcPr>
                <w:p>
                  <w:r>
                    <w:t xml:space="preserve">C41.3</w:t>
                  </w:r>
                </w:p>
              </w:tc>
              <w:tc>
                <w:tcPr>
                  <w:tcW w:w="4000" w:type="pct"/>
                  <w:vAlign w:val="top"/>
                </w:tcPr>
                <w:p>
                  <w:r>
                    <w:t xml:space="preserve">Rib and clavicle (excluding sternum)</w:t>
                  </w:r>
                </w:p>
              </w:tc>
            </w:tr>
            <w:tr>
              <w:trPr/>
              <w:tc>
                <w:tcPr>
                  <w:tcW w:w="1000" w:type="pct"/>
                  <w:vAlign w:val="top"/>
                </w:tcPr>
                <w:p>
                  <w:r>
                    <w:t xml:space="preserve">C41.4</w:t>
                  </w:r>
                </w:p>
              </w:tc>
              <w:tc>
                <w:tcPr>
                  <w:tcW w:w="4000" w:type="pct"/>
                  <w:vAlign w:val="top"/>
                </w:tcPr>
                <w:p>
                  <w:r>
                    <w:t xml:space="preserve">Pelvic bones (excluding sacrum, coccyx and symphysis pubis)</w:t>
                  </w:r>
                </w:p>
              </w:tc>
            </w:tr>
            <w:tr>
              <w:trPr/>
              <w:tc>
                <w:tcPr>
                  <w:tcW w:w="1000" w:type="pct"/>
                  <w:vAlign w:val="top"/>
                </w:tcPr>
                <w:p>
                  <w:r>
                    <w:t xml:space="preserve">C44.1</w:t>
                  </w:r>
                </w:p>
              </w:tc>
              <w:tc>
                <w:tcPr>
                  <w:tcW w:w="4000" w:type="pct"/>
                  <w:vAlign w:val="top"/>
                </w:tcPr>
                <w:p>
                  <w:r>
                    <w:t xml:space="preserve">Skin of eyelid</w:t>
                  </w:r>
                </w:p>
              </w:tc>
            </w:tr>
            <w:tr>
              <w:trPr/>
              <w:tc>
                <w:tcPr>
                  <w:tcW w:w="1000" w:type="pct"/>
                  <w:vAlign w:val="top"/>
                </w:tcPr>
                <w:p>
                  <w:r>
                    <w:t xml:space="preserve">C44.2</w:t>
                  </w:r>
                </w:p>
              </w:tc>
              <w:tc>
                <w:tcPr>
                  <w:tcW w:w="4000" w:type="pct"/>
                  <w:vAlign w:val="top"/>
                </w:tcPr>
                <w:p>
                  <w:r>
                    <w:t xml:space="preserve">Skin of external ear</w:t>
                  </w:r>
                </w:p>
              </w:tc>
            </w:tr>
            <w:tr>
              <w:trPr/>
              <w:tc>
                <w:tcPr>
                  <w:tcW w:w="1000" w:type="pct"/>
                  <w:vAlign w:val="top"/>
                </w:tcPr>
                <w:p>
                  <w:r>
                    <w:t xml:space="preserve">C44.3</w:t>
                  </w:r>
                </w:p>
              </w:tc>
              <w:tc>
                <w:tcPr>
                  <w:tcW w:w="4000" w:type="pct"/>
                  <w:vAlign w:val="top"/>
                </w:tcPr>
                <w:p>
                  <w:r>
                    <w:t xml:space="preserve">Skin of other and unspecified parts of face</w:t>
                  </w:r>
                </w:p>
              </w:tc>
            </w:tr>
            <w:tr>
              <w:trPr/>
              <w:tc>
                <w:tcPr>
                  <w:tcW w:w="1000" w:type="pct"/>
                  <w:vAlign w:val="top"/>
                </w:tcPr>
                <w:p>
                  <w:r>
                    <w:t xml:space="preserve">C44.5</w:t>
                  </w:r>
                </w:p>
              </w:tc>
              <w:tc>
                <w:tcPr>
                  <w:tcW w:w="4000" w:type="pct"/>
                  <w:vAlign w:val="top"/>
                </w:tcPr>
                <w:p>
                  <w:r>
                    <w:t xml:space="preserve">Skin of trunk</w:t>
                  </w:r>
                </w:p>
              </w:tc>
            </w:tr>
            <w:tr>
              <w:trPr/>
              <w:tc>
                <w:tcPr>
                  <w:tcW w:w="1000" w:type="pct"/>
                  <w:vAlign w:val="top"/>
                </w:tcPr>
                <w:p>
                  <w:r>
                    <w:t xml:space="preserve">C44.6</w:t>
                  </w:r>
                </w:p>
              </w:tc>
              <w:tc>
                <w:tcPr>
                  <w:tcW w:w="4000" w:type="pct"/>
                  <w:vAlign w:val="top"/>
                </w:tcPr>
                <w:p>
                  <w:r>
                    <w:t xml:space="preserve">Skin of upper limb and shoulder</w:t>
                  </w:r>
                </w:p>
              </w:tc>
            </w:tr>
            <w:tr>
              <w:trPr/>
              <w:tc>
                <w:tcPr>
                  <w:tcW w:w="1000" w:type="pct"/>
                  <w:vAlign w:val="top"/>
                </w:tcPr>
                <w:p>
                  <w:r>
                    <w:t xml:space="preserve">C44.7</w:t>
                  </w:r>
                </w:p>
              </w:tc>
              <w:tc>
                <w:tcPr>
                  <w:tcW w:w="4000" w:type="pct"/>
                  <w:vAlign w:val="top"/>
                </w:tcPr>
                <w:p>
                  <w:r>
                    <w:t xml:space="preserve">Skin of lower limb and hip</w:t>
                  </w:r>
                </w:p>
              </w:tc>
            </w:tr>
            <w:tr>
              <w:trPr/>
              <w:tc>
                <w:tcPr>
                  <w:tcW w:w="1000" w:type="pct"/>
                  <w:vAlign w:val="top"/>
                </w:tcPr>
                <w:p>
                  <w:r>
                    <w:t xml:space="preserve">C47.1</w:t>
                  </w:r>
                </w:p>
              </w:tc>
              <w:tc>
                <w:tcPr>
                  <w:tcW w:w="4000" w:type="pct"/>
                  <w:vAlign w:val="top"/>
                </w:tcPr>
                <w:p>
                  <w:r>
                    <w:t xml:space="preserve">Peripheral nerves and autonomic nervous system of upper limb and shoulder</w:t>
                  </w:r>
                </w:p>
              </w:tc>
            </w:tr>
            <w:tr>
              <w:trPr/>
              <w:tc>
                <w:tcPr>
                  <w:tcW w:w="1000" w:type="pct"/>
                  <w:vAlign w:val="top"/>
                </w:tcPr>
                <w:p>
                  <w:r>
                    <w:t xml:space="preserve">C47.2</w:t>
                  </w:r>
                </w:p>
              </w:tc>
              <w:tc>
                <w:tcPr>
                  <w:tcW w:w="4000" w:type="pct"/>
                  <w:vAlign w:val="top"/>
                </w:tcPr>
                <w:p>
                  <w:r>
                    <w:t xml:space="preserve">Peripheral nerves and autonomic nervous system of lower limb and hip</w:t>
                  </w:r>
                </w:p>
              </w:tc>
            </w:tr>
            <w:tr>
              <w:trPr/>
              <w:tc>
                <w:tcPr>
                  <w:tcW w:w="1000" w:type="pct"/>
                  <w:vAlign w:val="top"/>
                </w:tcPr>
                <w:p>
                  <w:r>
                    <w:t xml:space="preserve">C49.1</w:t>
                  </w:r>
                </w:p>
              </w:tc>
              <w:tc>
                <w:tcPr>
                  <w:tcW w:w="4000" w:type="pct"/>
                  <w:vAlign w:val="top"/>
                </w:tcPr>
                <w:p>
                  <w:r>
                    <w:t xml:space="preserve">Connective, subcutaneous and other soft tissues of upper limb and shoulder</w:t>
                  </w:r>
                </w:p>
              </w:tc>
            </w:tr>
            <w:tr>
              <w:trPr/>
              <w:tc>
                <w:tcPr>
                  <w:tcW w:w="1000" w:type="pct"/>
                  <w:vAlign w:val="top"/>
                </w:tcPr>
                <w:p>
                  <w:r>
                    <w:t xml:space="preserve">C49.2</w:t>
                  </w:r>
                </w:p>
              </w:tc>
              <w:tc>
                <w:tcPr>
                  <w:tcW w:w="4000" w:type="pct"/>
                  <w:vAlign w:val="top"/>
                </w:tcPr>
                <w:p>
                  <w:r>
                    <w:t xml:space="preserve">Connective, subcutaneous and other soft tissues of lower limb and hip</w:t>
                  </w:r>
                </w:p>
              </w:tc>
            </w:tr>
            <w:tr>
              <w:trPr/>
              <w:tc>
                <w:tcPr>
                  <w:tcW w:w="1000" w:type="pct"/>
                  <w:vAlign w:val="top"/>
                </w:tcPr>
                <w:p>
                  <w:r>
                    <w:t xml:space="preserve">C50.0-C50.9</w:t>
                  </w:r>
                </w:p>
              </w:tc>
              <w:tc>
                <w:tcPr>
                  <w:tcW w:w="4000" w:type="pct"/>
                  <w:vAlign w:val="top"/>
                </w:tcPr>
                <w:p>
                  <w:r>
                    <w:t xml:space="preserve">Breast</w:t>
                  </w:r>
                </w:p>
              </w:tc>
            </w:tr>
            <w:tr>
              <w:trPr/>
              <w:tc>
                <w:tcPr>
                  <w:tcW w:w="1000" w:type="pct"/>
                  <w:vAlign w:val="top"/>
                </w:tcPr>
                <w:p>
                  <w:r>
                    <w:t xml:space="preserve">C56.9</w:t>
                  </w:r>
                </w:p>
              </w:tc>
              <w:tc>
                <w:tcPr>
                  <w:tcW w:w="4000" w:type="pct"/>
                  <w:vAlign w:val="top"/>
                </w:tcPr>
                <w:p>
                  <w:r>
                    <w:t xml:space="preserve">Ovary</w:t>
                  </w:r>
                </w:p>
              </w:tc>
            </w:tr>
            <w:tr>
              <w:trPr/>
              <w:tc>
                <w:tcPr>
                  <w:tcW w:w="1000" w:type="pct"/>
                  <w:vAlign w:val="top"/>
                </w:tcPr>
                <w:p>
                  <w:r>
                    <w:t xml:space="preserve">C57.0</w:t>
                  </w:r>
                </w:p>
              </w:tc>
              <w:tc>
                <w:tcPr>
                  <w:tcW w:w="4000" w:type="pct"/>
                  <w:vAlign w:val="top"/>
                </w:tcPr>
                <w:p>
                  <w:r>
                    <w:t xml:space="preserve">Fallopian tube</w:t>
                  </w:r>
                </w:p>
              </w:tc>
            </w:tr>
            <w:tr>
              <w:trPr/>
              <w:tc>
                <w:tcPr>
                  <w:tcW w:w="1000" w:type="pct"/>
                  <w:vAlign w:val="top"/>
                </w:tcPr>
                <w:p>
                  <w:r>
                    <w:t xml:space="preserve">C62.0-C62.9</w:t>
                  </w:r>
                </w:p>
              </w:tc>
              <w:tc>
                <w:tcPr>
                  <w:tcW w:w="4000" w:type="pct"/>
                  <w:vAlign w:val="top"/>
                </w:tcPr>
                <w:p>
                  <w:r>
                    <w:t xml:space="preserve">Testis</w:t>
                  </w:r>
                </w:p>
              </w:tc>
            </w:tr>
            <w:tr>
              <w:trPr/>
              <w:tc>
                <w:tcPr>
                  <w:tcW w:w="1000" w:type="pct"/>
                  <w:vAlign w:val="top"/>
                </w:tcPr>
                <w:p>
                  <w:r>
                    <w:t xml:space="preserve">C63.0</w:t>
                  </w:r>
                </w:p>
              </w:tc>
              <w:tc>
                <w:tcPr>
                  <w:tcW w:w="4000" w:type="pct"/>
                  <w:vAlign w:val="top"/>
                </w:tcPr>
                <w:p>
                  <w:r>
                    <w:t xml:space="preserve">Epididymis</w:t>
                  </w:r>
                </w:p>
              </w:tc>
            </w:tr>
            <w:tr>
              <w:trPr/>
              <w:tc>
                <w:tcPr>
                  <w:tcW w:w="1000" w:type="pct"/>
                  <w:vAlign w:val="top"/>
                </w:tcPr>
                <w:p>
                  <w:r>
                    <w:t xml:space="preserve">C63.1</w:t>
                  </w:r>
                </w:p>
              </w:tc>
              <w:tc>
                <w:tcPr>
                  <w:tcW w:w="4000" w:type="pct"/>
                  <w:vAlign w:val="top"/>
                </w:tcPr>
                <w:p>
                  <w:r>
                    <w:t xml:space="preserve">Spermatic cord</w:t>
                  </w:r>
                </w:p>
              </w:tc>
            </w:tr>
            <w:tr>
              <w:trPr/>
              <w:tc>
                <w:tcPr>
                  <w:tcW w:w="1000" w:type="pct"/>
                  <w:vAlign w:val="top"/>
                </w:tcPr>
                <w:p>
                  <w:r>
                    <w:t xml:space="preserve">C64.9</w:t>
                  </w:r>
                </w:p>
              </w:tc>
              <w:tc>
                <w:tcPr>
                  <w:tcW w:w="4000" w:type="pct"/>
                  <w:vAlign w:val="top"/>
                </w:tcPr>
                <w:p>
                  <w:r>
                    <w:t xml:space="preserve">Kidney, NOS</w:t>
                  </w:r>
                </w:p>
              </w:tc>
            </w:tr>
            <w:tr>
              <w:trPr/>
              <w:tc>
                <w:tcPr>
                  <w:tcW w:w="1000" w:type="pct"/>
                  <w:vAlign w:val="top"/>
                </w:tcPr>
                <w:p>
                  <w:r>
                    <w:t xml:space="preserve">C65.9</w:t>
                  </w:r>
                </w:p>
              </w:tc>
              <w:tc>
                <w:tcPr>
                  <w:tcW w:w="4000" w:type="pct"/>
                  <w:vAlign w:val="top"/>
                </w:tcPr>
                <w:p>
                  <w:r>
                    <w:t xml:space="preserve">Renal pelvis</w:t>
                  </w:r>
                </w:p>
              </w:tc>
            </w:tr>
            <w:tr>
              <w:trPr/>
              <w:tc>
                <w:tcPr>
                  <w:tcW w:w="1000" w:type="pct"/>
                  <w:vAlign w:val="top"/>
                </w:tcPr>
                <w:p>
                  <w:r>
                    <w:t xml:space="preserve">C66.9</w:t>
                  </w:r>
                </w:p>
              </w:tc>
              <w:tc>
                <w:tcPr>
                  <w:tcW w:w="4000" w:type="pct"/>
                  <w:vAlign w:val="top"/>
                </w:tcPr>
                <w:p>
                  <w:r>
                    <w:t xml:space="preserve">Ureter</w:t>
                  </w:r>
                </w:p>
              </w:tc>
            </w:tr>
            <w:tr>
              <w:trPr/>
              <w:tc>
                <w:tcPr>
                  <w:tcW w:w="1000" w:type="pct"/>
                  <w:vAlign w:val="top"/>
                </w:tcPr>
                <w:p>
                  <w:r>
                    <w:t xml:space="preserve">C69.0-C69.9</w:t>
                  </w:r>
                </w:p>
              </w:tc>
              <w:tc>
                <w:tcPr>
                  <w:tcW w:w="4000" w:type="pct"/>
                  <w:vAlign w:val="top"/>
                </w:tcPr>
                <w:p>
                  <w:r>
                    <w:t xml:space="preserve">Eye and lacrimal gland</w:t>
                  </w:r>
                </w:p>
              </w:tc>
            </w:tr>
            <w:tr>
              <w:trPr/>
              <w:tc>
                <w:tcPr>
                  <w:tcW w:w="1000" w:type="pct"/>
                  <w:vAlign w:val="top"/>
                </w:tcPr>
                <w:p>
                  <w:r>
                    <w:t xml:space="preserve">C70.0</w:t>
                  </w:r>
                </w:p>
              </w:tc>
              <w:tc>
                <w:tcPr>
                  <w:tcW w:w="4000" w:type="pct"/>
                  <w:vAlign w:val="top"/>
                </w:tcPr>
                <w:p>
                  <w:r>
                    <w:t xml:space="preserve">Cerebral meninges, NOS</w:t>
                  </w:r>
                </w:p>
              </w:tc>
            </w:tr>
            <w:tr>
              <w:trPr/>
              <w:tc>
                <w:tcPr>
                  <w:tcW w:w="1000" w:type="pct"/>
                  <w:vAlign w:val="top"/>
                </w:tcPr>
                <w:p>
                  <w:r>
                    <w:t xml:space="preserve">C71.0</w:t>
                  </w:r>
                </w:p>
              </w:tc>
              <w:tc>
                <w:tcPr>
                  <w:tcW w:w="4000" w:type="pct"/>
                  <w:vAlign w:val="top"/>
                </w:tcPr>
                <w:p>
                  <w:r>
                    <w:t xml:space="preserve">Cerebrum</w:t>
                  </w:r>
                </w:p>
              </w:tc>
            </w:tr>
            <w:tr>
              <w:trPr/>
              <w:tc>
                <w:tcPr>
                  <w:tcW w:w="1000" w:type="pct"/>
                  <w:vAlign w:val="top"/>
                </w:tcPr>
                <w:p>
                  <w:r>
                    <w:t xml:space="preserve">C71.1</w:t>
                  </w:r>
                </w:p>
              </w:tc>
              <w:tc>
                <w:tcPr>
                  <w:tcW w:w="4000" w:type="pct"/>
                  <w:vAlign w:val="top"/>
                </w:tcPr>
                <w:p>
                  <w:r>
                    <w:t xml:space="preserve">Frontal lobe</w:t>
                  </w:r>
                </w:p>
              </w:tc>
            </w:tr>
            <w:tr>
              <w:trPr/>
              <w:tc>
                <w:tcPr>
                  <w:tcW w:w="1000" w:type="pct"/>
                  <w:vAlign w:val="top"/>
                </w:tcPr>
                <w:p>
                  <w:r>
                    <w:t xml:space="preserve">C71.2</w:t>
                  </w:r>
                </w:p>
              </w:tc>
              <w:tc>
                <w:tcPr>
                  <w:tcW w:w="4000" w:type="pct"/>
                  <w:vAlign w:val="top"/>
                </w:tcPr>
                <w:p>
                  <w:r>
                    <w:t xml:space="preserve">Temporal lobe</w:t>
                  </w:r>
                </w:p>
              </w:tc>
            </w:tr>
            <w:tr>
              <w:trPr/>
              <w:tc>
                <w:tcPr>
                  <w:tcW w:w="1000" w:type="pct"/>
                  <w:vAlign w:val="top"/>
                </w:tcPr>
                <w:p>
                  <w:r>
                    <w:t xml:space="preserve">C71.3</w:t>
                  </w:r>
                </w:p>
              </w:tc>
              <w:tc>
                <w:tcPr>
                  <w:tcW w:w="4000" w:type="pct"/>
                  <w:vAlign w:val="top"/>
                </w:tcPr>
                <w:p>
                  <w:r>
                    <w:t xml:space="preserve">Parietal lobe</w:t>
                  </w:r>
                </w:p>
              </w:tc>
            </w:tr>
            <w:tr>
              <w:trPr/>
              <w:tc>
                <w:tcPr>
                  <w:tcW w:w="1000" w:type="pct"/>
                  <w:vAlign w:val="top"/>
                </w:tcPr>
                <w:p>
                  <w:r>
                    <w:t xml:space="preserve">C71.4</w:t>
                  </w:r>
                </w:p>
              </w:tc>
              <w:tc>
                <w:tcPr>
                  <w:tcW w:w="4000" w:type="pct"/>
                  <w:vAlign w:val="top"/>
                </w:tcPr>
                <w:p>
                  <w:r>
                    <w:t xml:space="preserve">Occipital lobe</w:t>
                  </w:r>
                </w:p>
              </w:tc>
            </w:tr>
            <w:tr>
              <w:trPr/>
              <w:tc>
                <w:tcPr>
                  <w:tcW w:w="1000" w:type="pct"/>
                  <w:vAlign w:val="top"/>
                </w:tcPr>
                <w:p>
                  <w:r>
                    <w:t xml:space="preserve">C72.2</w:t>
                  </w:r>
                </w:p>
              </w:tc>
              <w:tc>
                <w:tcPr>
                  <w:tcW w:w="4000" w:type="pct"/>
                  <w:vAlign w:val="top"/>
                </w:tcPr>
                <w:p>
                  <w:r>
                    <w:t xml:space="preserve">Olfactory nerve</w:t>
                  </w:r>
                </w:p>
              </w:tc>
            </w:tr>
            <w:tr>
              <w:trPr/>
              <w:tc>
                <w:tcPr>
                  <w:tcW w:w="1000" w:type="pct"/>
                  <w:vAlign w:val="top"/>
                </w:tcPr>
                <w:p>
                  <w:r>
                    <w:t xml:space="preserve">C72.3</w:t>
                  </w:r>
                </w:p>
              </w:tc>
              <w:tc>
                <w:tcPr>
                  <w:tcW w:w="4000" w:type="pct"/>
                  <w:vAlign w:val="top"/>
                </w:tcPr>
                <w:p>
                  <w:r>
                    <w:t xml:space="preserve">Optic nerve</w:t>
                  </w:r>
                </w:p>
              </w:tc>
            </w:tr>
            <w:tr>
              <w:trPr/>
              <w:tc>
                <w:tcPr>
                  <w:tcW w:w="1000" w:type="pct"/>
                  <w:vAlign w:val="top"/>
                </w:tcPr>
                <w:p>
                  <w:r>
                    <w:t xml:space="preserve">C72.4</w:t>
                  </w:r>
                </w:p>
              </w:tc>
              <w:tc>
                <w:tcPr>
                  <w:tcW w:w="4000" w:type="pct"/>
                  <w:vAlign w:val="top"/>
                </w:tcPr>
                <w:p>
                  <w:r>
                    <w:t xml:space="preserve">Acoustic nerve</w:t>
                  </w:r>
                </w:p>
              </w:tc>
            </w:tr>
            <w:tr>
              <w:trPr/>
              <w:tc>
                <w:tcPr>
                  <w:tcW w:w="1000" w:type="pct"/>
                  <w:vAlign w:val="top"/>
                </w:tcPr>
                <w:p>
                  <w:r>
                    <w:t xml:space="preserve">C72.5</w:t>
                  </w:r>
                </w:p>
              </w:tc>
              <w:tc>
                <w:tcPr>
                  <w:tcW w:w="4000" w:type="pct"/>
                  <w:vAlign w:val="top"/>
                </w:tcPr>
                <w:p>
                  <w:r>
                    <w:t xml:space="preserve">Cranial nerve, NOS</w:t>
                  </w:r>
                </w:p>
              </w:tc>
            </w:tr>
            <w:tr>
              <w:trPr/>
              <w:tc>
                <w:tcPr>
                  <w:tcW w:w="1000" w:type="pct"/>
                  <w:vAlign w:val="top"/>
                </w:tcPr>
                <w:p>
                  <w:r>
                    <w:t xml:space="preserve">C74.0-C74.9</w:t>
                  </w:r>
                </w:p>
              </w:tc>
              <w:tc>
                <w:tcPr>
                  <w:tcW w:w="4000" w:type="pct"/>
                  <w:vAlign w:val="top"/>
                </w:tcPr>
                <w:p>
                  <w:r>
                    <w:t xml:space="preserve">Adrenal gland</w:t>
                  </w:r>
                </w:p>
              </w:tc>
            </w:tr>
            <w:tr>
              <w:trPr/>
              <w:tc>
                <w:tcPr>
                  <w:tcW w:w="1000" w:type="pct"/>
                  <w:vAlign w:val="top"/>
                </w:tcPr>
                <w:p>
                  <w:r>
                    <w:t xml:space="preserve">C75.0</w:t>
                  </w:r>
                </w:p>
              </w:tc>
              <w:tc>
                <w:tcPr>
                  <w:tcW w:w="4000" w:type="pct"/>
                  <w:vAlign w:val="top"/>
                </w:tcPr>
                <w:p>
                  <w:r>
                    <w:t xml:space="preserve">Parathyroid glands</w:t>
                  </w:r>
                </w:p>
              </w:tc>
            </w:tr>
            <w:tr>
              <w:trPr/>
              <w:tc>
                <w:tcPr>
                  <w:tcW w:w="1000" w:type="pct"/>
                  <w:vAlign w:val="top"/>
                </w:tcPr>
                <w:p>
                  <w:r>
                    <w:t xml:space="preserve">C75.4</w:t>
                  </w:r>
                </w:p>
              </w:tc>
              <w:tc>
                <w:tcPr>
                  <w:tcW w:w="4000" w:type="pct"/>
                  <w:vAlign w:val="top"/>
                </w:tcPr>
                <w:p>
                  <w:r>
                    <w:t xml:space="preserve">Carotid body</w:t>
                  </w:r>
                </w:p>
              </w:tc>
            </w:tr>
            <w:tr>
              <w:trPr/>
              <w:tc>
                <w:tcPr>
                  <w:tcW w:w="1000" w:type="pct"/>
                  <w:vAlign w:val="top"/>
                </w:tcPr>
                <w:p>
                  <w:r>
                    <w:t xml:space="preserve">C76.4</w:t>
                  </w:r>
                </w:p>
              </w:tc>
              <w:tc>
                <w:tcPr>
                  <w:tcW w:w="4000" w:type="pct"/>
                  <w:vAlign w:val="top"/>
                </w:tcPr>
                <w:p>
                  <w:r>
                    <w:t xml:space="preserve">Upper limb, NOS</w:t>
                  </w:r>
                </w:p>
              </w:tc>
            </w:tr>
            <w:tr>
              <w:trPr/>
              <w:tc>
                <w:tcPr>
                  <w:tcW w:w="1000" w:type="pct"/>
                  <w:vAlign w:val="top"/>
                </w:tcPr>
                <w:p>
                  <w:r>
                    <w:t xml:space="preserve">C76.5</w:t>
                  </w:r>
                </w:p>
              </w:tc>
              <w:tc>
                <w:tcPr>
                  <w:tcW w:w="4000" w:type="pct"/>
                  <w:vAlign w:val="top"/>
                </w:tcPr>
                <w:p>
                  <w:r>
                    <w:t xml:space="preserve">Lower limb, NOS</w:t>
                  </w:r>
                </w:p>
              </w:tc>
            </w:tr>
            <w:tr>
              <w:trPr/>
              <w:tc>
                <w:tcPr>
                  <w:tcW w:w="1000" w:type="pct"/>
                  <w:vAlign w:val="top"/>
                </w:tcPr>
                <w:p>
                  <w:r>
                    <w:t xml:space="preserve">C77.3</w:t>
                  </w:r>
                </w:p>
              </w:tc>
              <w:tc>
                <w:tcPr>
                  <w:tcW w:w="4000" w:type="pct"/>
                  <w:vAlign w:val="top"/>
                </w:tcPr>
                <w:p>
                  <w:r>
                    <w:t xml:space="preserve">Lymph nodes of axilla or arm</w:t>
                  </w:r>
                </w:p>
              </w:tc>
            </w:tr>
            <w:tr>
              <w:trPr/>
              <w:tc>
                <w:tcPr>
                  <w:tcW w:w="1000" w:type="pct"/>
                  <w:vAlign w:val="top"/>
                </w:tcPr>
                <w:p>
                  <w:r>
                    <w:t xml:space="preserve">C77.4</w:t>
                  </w:r>
                </w:p>
              </w:tc>
              <w:tc>
                <w:tcPr>
                  <w:tcW w:w="4000" w:type="pct"/>
                  <w:vAlign w:val="top"/>
                </w:tcPr>
                <w:p>
                  <w:r>
                    <w:t xml:space="preserve">Lymph nodes of inguinal region or leg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and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the primary tumour may have implications for treatment and prognosis, and can be of assistance to cancer registries for the coding of subsequent tumours in paired organs.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2010 revision. Commission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44015b6b8d4b22">
              <w:r>
                <w:rPr>
                  <w:rStyle w:val="Hyperlink"/>
                </w:rPr>
                <w:t xml:space="preserve">Person with cancer—laterality of primary cancer, code [N]</w:t>
              </w:r>
            </w:hyperlink>
          </w:p>
          <w:p>
            <w:pPr>
              <w:pStyle w:val="registration-status"/>
              <w:spacing w:before="0" w:after="0"/>
            </w:pPr>
            <w:hyperlink w:history="true" r:id="R08359f24eaac4f6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3f646fffbb4a7c">
              <w:r>
                <w:rPr>
                  <w:rStyle w:val="Hyperlink"/>
                </w:rPr>
                <w:t xml:space="preserve">Breast cancer (cancer registries) NBPDS</w:t>
              </w:r>
            </w:hyperlink>
          </w:p>
          <w:p>
            <w:pPr>
              <w:pStyle w:val="registration-status"/>
              <w:spacing w:before="0" w:after="0"/>
            </w:pPr>
            <w:hyperlink w:history="true" r:id="Rf983f978f2fb4569">
              <w:r>
                <w:rPr>
                  <w:rStyle w:val="Hyperlink"/>
                  <w:color w:val="244061"/>
                </w:rPr>
                <w:t xml:space="preserve">Health!</w:t>
              </w:r>
            </w:hyperlink>
            <w:r>
              <w:rPr>
                <w:rStyle w:val="row-content"/>
                <w:color w:val="244061"/>
              </w:rPr>
              <w:t xml:space="preserve">, Standard 01/09/2012</w:t>
            </w:r>
          </w:p>
          <w:p>
            <w:r>
              <w:br/>
            </w:r>
            <w:hyperlink w:history="true" r:id="Rfd3d117874f84186">
              <w:r>
                <w:rPr>
                  <w:rStyle w:val="Hyperlink"/>
                </w:rPr>
                <w:t xml:space="preserve">Cancer (clinical) DSS</w:t>
              </w:r>
            </w:hyperlink>
          </w:p>
          <w:p>
            <w:pPr>
              <w:pStyle w:val="registration-status"/>
              <w:spacing w:before="0" w:after="0"/>
            </w:pPr>
            <w:hyperlink w:history="true" r:id="R07ac05435ad94bd9">
              <w:r>
                <w:rPr>
                  <w:rStyle w:val="Hyperlink"/>
                  <w:color w:val="244061"/>
                </w:rPr>
                <w:t xml:space="preserve">Health!</w:t>
              </w:r>
            </w:hyperlink>
            <w:r>
              <w:rPr>
                <w:rStyle w:val="row-content"/>
                <w:color w:val="244061"/>
              </w:rPr>
              <w:t xml:space="preserve">, Superseded 08/05/2014</w:t>
            </w:r>
          </w:p>
          <w:p>
            <w:r>
              <w:br/>
            </w:r>
            <w:hyperlink w:history="true" r:id="R7b50b7ec05f54382">
              <w:r>
                <w:rPr>
                  <w:rStyle w:val="Hyperlink"/>
                </w:rPr>
                <w:t xml:space="preserve">Cancer (clinical) DSS</w:t>
              </w:r>
            </w:hyperlink>
          </w:p>
          <w:p>
            <w:pPr>
              <w:pStyle w:val="registration-status"/>
              <w:spacing w:before="0" w:after="0"/>
            </w:pPr>
            <w:hyperlink w:history="true" r:id="R9395703a19674d7b">
              <w:r>
                <w:rPr>
                  <w:rStyle w:val="Hyperlink"/>
                  <w:color w:val="244061"/>
                </w:rPr>
                <w:t xml:space="preserve">Health!</w:t>
              </w:r>
            </w:hyperlink>
            <w:r>
              <w:rPr>
                <w:rStyle w:val="row-content"/>
                <w:color w:val="244061"/>
              </w:rPr>
              <w:t xml:space="preserve">, Superseded 14/05/2015</w:t>
            </w:r>
          </w:p>
          <w:p>
            <w:r>
              <w:br/>
            </w:r>
            <w:hyperlink w:history="true" r:id="Rf291eb2f0534494d">
              <w:r>
                <w:rPr>
                  <w:rStyle w:val="Hyperlink"/>
                </w:rPr>
                <w:t xml:space="preserve">Cancer (clinical) NBPDS</w:t>
              </w:r>
            </w:hyperlink>
          </w:p>
          <w:p>
            <w:pPr>
              <w:pStyle w:val="registration-status"/>
              <w:spacing w:before="0" w:after="0"/>
            </w:pPr>
            <w:hyperlink w:history="true" r:id="Rc0f61dc0f71e47a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6ff7ab1f48d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422769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13d0e6aea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ff7ab1f48d4065" /><Relationship Type="http://schemas.openxmlformats.org/officeDocument/2006/relationships/header" Target="/word/header1.xml" Id="R53b45b2977be44a8" /><Relationship Type="http://schemas.openxmlformats.org/officeDocument/2006/relationships/settings" Target="/word/settings.xml" Id="Rcf543f77c66142a1" /><Relationship Type="http://schemas.openxmlformats.org/officeDocument/2006/relationships/styles" Target="/word/styles.xml" Id="R875903388cdc41dc" /><Relationship Type="http://schemas.openxmlformats.org/officeDocument/2006/relationships/hyperlink" Target="https://meteor-uat.aihw.gov.au/RegistrationAuthority/14" TargetMode="External" Id="Rcfa058e4e6f0476b" /><Relationship Type="http://schemas.openxmlformats.org/officeDocument/2006/relationships/hyperlink" Target="https://meteor-uat.aihw.gov.au/content/269644" TargetMode="External" Id="Rc93f441e7be849f5" /><Relationship Type="http://schemas.openxmlformats.org/officeDocument/2006/relationships/hyperlink" Target="https://meteor-uat.aihw.gov.au/RegistrationAuthority/14" TargetMode="External" Id="R02fbd1d29ecc4e7e" /><Relationship Type="http://schemas.openxmlformats.org/officeDocument/2006/relationships/hyperlink" Target="https://meteor-uat.aihw.gov.au/content/268990" TargetMode="External" Id="Rf4410129bd2547fd" /><Relationship Type="http://schemas.openxmlformats.org/officeDocument/2006/relationships/hyperlink" Target="https://meteor-uat.aihw.gov.au/content/269179" TargetMode="External" Id="Rc2ed293ae42648b4" /><Relationship Type="http://schemas.openxmlformats.org/officeDocument/2006/relationships/hyperlink" Target="https://meteor-uat.aihw.gov.au/content/270754" TargetMode="External" Id="Rf8e0722301904b72" /><Relationship Type="http://schemas.openxmlformats.org/officeDocument/2006/relationships/hyperlink" Target="https://meteor-uat.aihw.gov.au/RegistrationAuthority/14" TargetMode="External" Id="Ra1c1c60f01094ec2" /><Relationship Type="http://schemas.openxmlformats.org/officeDocument/2006/relationships/hyperlink" Target="https://meteor-uat.aihw.gov.au/content/270177" TargetMode="External" Id="Re644015b6b8d4b22" /><Relationship Type="http://schemas.openxmlformats.org/officeDocument/2006/relationships/hyperlink" Target="https://meteor-uat.aihw.gov.au/RegistrationAuthority/14" TargetMode="External" Id="R08359f24eaac4f64" /><Relationship Type="http://schemas.openxmlformats.org/officeDocument/2006/relationships/hyperlink" Target="https://meteor-uat.aihw.gov.au/content/491771" TargetMode="External" Id="R633f646fffbb4a7c" /><Relationship Type="http://schemas.openxmlformats.org/officeDocument/2006/relationships/hyperlink" Target="https://meteor-uat.aihw.gov.au/RegistrationAuthority/14" TargetMode="External" Id="Rf983f978f2fb4569" /><Relationship Type="http://schemas.openxmlformats.org/officeDocument/2006/relationships/hyperlink" Target="https://meteor-uat.aihw.gov.au/content/394731" TargetMode="External" Id="Rfd3d117874f84186" /><Relationship Type="http://schemas.openxmlformats.org/officeDocument/2006/relationships/hyperlink" Target="https://meteor-uat.aihw.gov.au/RegistrationAuthority/14" TargetMode="External" Id="R07ac05435ad94bd9" /><Relationship Type="http://schemas.openxmlformats.org/officeDocument/2006/relationships/hyperlink" Target="https://meteor-uat.aihw.gov.au/content/560813" TargetMode="External" Id="R7b50b7ec05f54382" /><Relationship Type="http://schemas.openxmlformats.org/officeDocument/2006/relationships/hyperlink" Target="https://meteor-uat.aihw.gov.au/RegistrationAuthority/14" TargetMode="External" Id="R9395703a19674d7b" /><Relationship Type="http://schemas.openxmlformats.org/officeDocument/2006/relationships/hyperlink" Target="https://meteor-uat.aihw.gov.au/content/597861" TargetMode="External" Id="Rf291eb2f0534494d" /><Relationship Type="http://schemas.openxmlformats.org/officeDocument/2006/relationships/hyperlink" Target="https://meteor-uat.aihw.gov.au/RegistrationAuthority/14" TargetMode="External" Id="Rc0f61dc0f71e47aa" /></Relationships>
</file>

<file path=word/_rels/header1.xml.rels>&#65279;<?xml version="1.0" encoding="utf-8"?><Relationships xmlns="http://schemas.openxmlformats.org/package/2006/relationships"><Relationship Type="http://schemas.openxmlformats.org/officeDocument/2006/relationships/image" Target="/media/image.png" Id="Rbbd13d0e6aea467c" /></Relationships>
</file>