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6d4a96ceae846b9" /></Relationships>
</file>

<file path=word/document.xml><?xml version="1.0" encoding="utf-8"?>
<w:document xmlns:r="http://schemas.openxmlformats.org/officeDocument/2006/relationships" xmlns:w="http://schemas.openxmlformats.org/wordprocessingml/2006/main">
  <w:body>
    <w:p>
      <w:pPr>
        <w:pStyle w:val="Title"/>
      </w:pPr>
      <w:r>
        <w:t>Opioid pharmacotherapy treatment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Opioid pharmacotherapy treatment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407265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fb37579e814a4c">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These data items are used in conjunction to determine:</w:t>
            </w:r>
          </w:p>
          <w:p>
            <w:pPr>
              <w:pStyle w:val="ListParagraph"/>
              <w:numPr>
                <w:ilvl w:val="0"/>
                <w:numId w:val="2"/>
              </w:numPr>
            </w:pPr>
            <w:r>
              <w:rPr>
                <w:rStyle w:val="row-content-rich-text"/>
              </w:rPr>
              <w:t xml:space="preserve">the number of prison entrants who have been on, or are currently on, an opioid pharmacotherapy treatment program; and </w:t>
            </w:r>
          </w:p>
          <w:p>
            <w:pPr>
              <w:pStyle w:val="ListParagraph"/>
              <w:numPr>
                <w:ilvl w:val="0"/>
                <w:numId w:val="2"/>
              </w:numPr>
            </w:pPr>
            <w:r>
              <w:rPr>
                <w:rStyle w:val="row-content-rich-text"/>
              </w:rPr>
              <w:t xml:space="preserve">the type of opioid pharmacotherapy treatment program a prison entrant has been on, or is on currently.</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Opioid pharmacotherapy treatment (OPT) is a form of treatment for heroin or opiate dependence using prescribed opioid agonists, which have some properties similar or identical to those of heroin and morphine, including the effect on the brain, which alleviate withdrawal symptoms and block the craving for illicit opiates. The most common form of opioid pharmacotherapy treatment is methadone maintenance treatment. However, buprenorphine is also quite common in some countries (Kastelic et al. 2008).</w:t>
            </w:r>
            <w:r>
              <w:br/>
            </w:r>
            <w:r>
              <w:rPr>
                <w:rStyle w:val="row-content-rich-text"/>
              </w:rPr>
              <w:t xml:space="preserve"> </w:t>
            </w:r>
          </w:p>
          <w:p>
            <w:pPr>
              <w:spacing w:after="160"/>
            </w:pPr>
            <w:r>
              <w:rPr>
                <w:rStyle w:val="row-content-rich-text"/>
              </w:rPr>
              <w:t xml:space="preserve">The OPT program cluster comprises three data elements which provide information on a person's current and past OPT programs:</w:t>
            </w:r>
            <w:r>
              <w:br/>
            </w:r>
            <w:r>
              <w:rPr>
                <w:rStyle w:val="row-content-rich-text"/>
                <w:i/>
              </w:rPr>
              <w:t xml:space="preserve">Person—previous opioid pharmacotherapy treatment program indicator, yes/no code N</w:t>
            </w:r>
            <w:r>
              <w:br/>
            </w:r>
            <w:r>
              <w:rPr>
                <w:rStyle w:val="row-content-rich-text"/>
                <w:i/>
              </w:rPr>
              <w:t xml:space="preserve">Person—current opioid pharmacotherapy treatment program indicator, yes/no code N</w:t>
            </w:r>
            <w:r>
              <w:rPr>
                <w:rStyle w:val="row-content-rich-text"/>
              </w:rPr>
              <w:t xml:space="preserve"> and</w:t>
            </w:r>
            <w:r>
              <w:br/>
            </w:r>
            <w:r>
              <w:rPr>
                <w:rStyle w:val="row-content-rich-text"/>
                <w:i/>
              </w:rPr>
              <w:t xml:space="preserve">Person—type of opioid pharmacotherapy treatment, code N.</w:t>
            </w:r>
          </w:p>
          <w:p>
            <w:pPr>
              <w:spacing w:after="160"/>
            </w:pPr>
            <w:r>
              <w:rPr>
                <w:rStyle w:val="row-content-rich-text"/>
              </w:rPr>
              <w:t xml:space="preserve"> </w:t>
            </w:r>
          </w:p>
          <w:tbl>
            <w:tblPr>
              <w:tblStyle w:val="TableGrid"/>
              <w:tblW w:w="5000" w:type="pct"/>
              <w:tblLayout w:type="autofit"/>
            </w:tblPr>
            <w:tblGrid>
              <w:gridCol/>
              <w:gridCol/>
              <w:gridCol/>
              <w:gridCol/>
              <w:gridCol/>
            </w:tblGrid>
            <w:tr>
              <w:trPr/>
              <w:tc>
                <w:tcPr>
                  <w:tcW w:w="900" w:type="pct"/>
                  <w:vAlign w:val="top"/>
                </w:tcPr>
                <w:p>
                  <w:pPr/>
                  <w:r>
                    <w:rPr>
                      <w:rStyle w:val="row-content-rich-text"/>
                    </w:rPr>
                    <w:t xml:space="preserve"> </w:t>
                  </w:r>
                  <w:r>
                    <w:rPr>
                      <w:rStyle w:val="row-content-rich-text"/>
                    </w:rPr>
                    <w:t xml:space="preserve">OPT program</w:t>
                  </w:r>
                </w:p>
              </w:tc>
              <w:tc>
                <w:tcPr>
                  <w:tcW w:w="1050" w:type="pct"/>
                  <w:vAlign w:val="top"/>
                </w:tcPr>
                <w:p>
                  <w:r>
                    <w:t xml:space="preserve">Methadone</w:t>
                  </w:r>
                </w:p>
              </w:tc>
              <w:tc>
                <w:tcPr>
                  <w:tcW w:w="1100" w:type="pct"/>
                  <w:vAlign w:val="top"/>
                </w:tcPr>
                <w:p>
                  <w:r>
                    <w:t xml:space="preserve">Methadone</w:t>
                  </w:r>
                </w:p>
              </w:tc>
              <w:tc>
                <w:tcPr>
                  <w:tcW w:w="850" w:type="pct"/>
                  <w:vAlign w:val="top"/>
                </w:tcPr>
                <w:p>
                  <w:r>
                    <w:t xml:space="preserve">Other</w:t>
                  </w:r>
                </w:p>
              </w:tc>
              <w:tc>
                <w:tcPr>
                  <w:tcW w:w="900" w:type="pct"/>
                  <w:vAlign w:val="top"/>
                </w:tcPr>
                <w:p>
                  <w:r>
                    <w:t xml:space="preserve">Other</w:t>
                  </w:r>
                </w:p>
              </w:tc>
            </w:tr>
            <w:tr>
              <w:trPr/>
              <w:tc>
                <w:tcPr>
                  <w:tcW w:w="900" w:type="pct"/>
                  <w:vAlign w:val="top"/>
                </w:tcPr>
                <w:p>
                  <w:r>
                    <w:t xml:space="preserve"> </w:t>
                  </w:r>
                </w:p>
              </w:tc>
              <w:tc>
                <w:tcPr>
                  <w:tcW w:w="1050" w:type="pct"/>
                  <w:vAlign w:val="top"/>
                </w:tcPr>
                <w:p>
                  <w:r>
                    <w:t xml:space="preserve">Current</w:t>
                  </w:r>
                </w:p>
              </w:tc>
              <w:tc>
                <w:tcPr>
                  <w:tcW w:w="1100" w:type="pct"/>
                  <w:vAlign w:val="top"/>
                </w:tcPr>
                <w:p>
                  <w:r>
                    <w:t xml:space="preserve">Previous</w:t>
                  </w:r>
                </w:p>
              </w:tc>
              <w:tc>
                <w:tcPr>
                  <w:tcW w:w="850" w:type="pct"/>
                  <w:vAlign w:val="top"/>
                </w:tcPr>
                <w:p>
                  <w:r>
                    <w:t xml:space="preserve">Current</w:t>
                  </w:r>
                </w:p>
              </w:tc>
              <w:tc>
                <w:tcPr>
                  <w:tcW w:w="900" w:type="pct"/>
                  <w:vAlign w:val="top"/>
                </w:tcPr>
                <w:p>
                  <w:r>
                    <w:t xml:space="preserve">Previous</w:t>
                  </w:r>
                </w:p>
              </w:tc>
            </w:tr>
            <w:tr>
              <w:trPr/>
              <w:tc>
                <w:tcPr>
                  <w:tcW w:w="900" w:type="pct"/>
                  <w:vAlign w:val="top"/>
                </w:tcPr>
                <w:p>
                  <w:r>
                    <w:t xml:space="preserve"> </w:t>
                  </w:r>
                </w:p>
              </w:tc>
              <w:tc>
                <w:tcPr>
                  <w:tcW w:w="1050" w:type="pct"/>
                  <w:vAlign w:val="top"/>
                </w:tcPr>
                <w:p>
                  <w:r>
                    <w:t xml:space="preserve">Y/N</w:t>
                  </w:r>
                </w:p>
              </w:tc>
              <w:tc>
                <w:tcPr>
                  <w:tcW w:w="1100" w:type="pct"/>
                  <w:vAlign w:val="top"/>
                </w:tcPr>
                <w:p>
                  <w:r>
                    <w:t xml:space="preserve">Y/N</w:t>
                  </w:r>
                </w:p>
              </w:tc>
              <w:tc>
                <w:tcPr>
                  <w:tcW w:w="850" w:type="pct"/>
                  <w:vAlign w:val="top"/>
                </w:tcPr>
                <w:p>
                  <w:r>
                    <w:t xml:space="preserve">Y/N</w:t>
                  </w:r>
                </w:p>
              </w:tc>
              <w:tc>
                <w:tcPr>
                  <w:tcW w:w="900" w:type="pct"/>
                  <w:vAlign w:val="top"/>
                </w:tcPr>
                <w:p>
                  <w:r>
                    <w:t xml:space="preserve">Y/N</w:t>
                  </w:r>
                </w:p>
              </w:tc>
            </w:tr>
            <w:tr>
              <w:trPr/>
              <w:tc>
                <w:tcPr>
                  <w:tcW w:w="900" w:type="pct"/>
                  <w:vAlign w:val="top"/>
                </w:tcPr>
                <w:p>
                  <w:r>
                    <w:t xml:space="preserve"> </w:t>
                  </w:r>
                </w:p>
              </w:tc>
              <w:tc>
                <w:tcPr>
                  <w:tcW w:w="1050" w:type="pct"/>
                  <w:vAlign w:val="top"/>
                </w:tcPr>
                <w:p>
                  <w:r>
                    <w:t xml:space="preserve">Y/N</w:t>
                  </w:r>
                </w:p>
              </w:tc>
              <w:tc>
                <w:tcPr>
                  <w:tcW w:w="1100" w:type="pct"/>
                  <w:vAlign w:val="top"/>
                </w:tcPr>
                <w:p>
                  <w:r>
                    <w:t xml:space="preserve">Y/N</w:t>
                  </w:r>
                </w:p>
              </w:tc>
              <w:tc>
                <w:tcPr>
                  <w:tcW w:w="850" w:type="pct"/>
                  <w:vAlign w:val="top"/>
                </w:tcPr>
                <w:p>
                  <w:r>
                    <w:t xml:space="preserve">Y/N</w:t>
                  </w:r>
                </w:p>
              </w:tc>
              <w:tc>
                <w:tcPr>
                  <w:tcW w:w="900" w:type="pct"/>
                  <w:vAlign w:val="top"/>
                </w:tcPr>
                <w:p>
                  <w:r>
                    <w:t xml:space="preserve">Y/N</w:t>
                  </w:r>
                </w:p>
              </w:tc>
            </w:tr>
            <w:tr>
              <w:trPr/>
              <w:tc>
                <w:tcPr>
                  <w:tcW w:w="900" w:type="pct"/>
                  <w:vAlign w:val="top"/>
                </w:tcPr>
                <w:p>
                  <w:r>
                    <w:t xml:space="preserve">Never</w:t>
                  </w:r>
                </w:p>
              </w:tc>
              <w:tc>
                <w:tcPr>
                  <w:tcW w:w="1050" w:type="pct"/>
                  <w:vAlign w:val="top"/>
                </w:tcPr>
                <w:p>
                  <w:r>
                    <w:t xml:space="preserve"> </w:t>
                  </w:r>
                </w:p>
              </w:tc>
              <w:tc>
                <w:tcPr>
                  <w:tcW w:w="1100" w:type="pct"/>
                  <w:vAlign w:val="top"/>
                </w:tcPr>
                <w:p>
                  <w:r>
                    <w:t xml:space="preserve"> </w:t>
                  </w:r>
                </w:p>
              </w:tc>
              <w:tc>
                <w:tcPr>
                  <w:tcW w:w="850" w:type="pct"/>
                  <w:vAlign w:val="top"/>
                </w:tcPr>
                <w:p>
                  <w:r>
                    <w:t xml:space="preserve"> </w:t>
                  </w:r>
                </w:p>
              </w:tc>
              <w:tc>
                <w:tcPr>
                  <w:tcW w:w="900" w:type="pct"/>
                  <w:vAlign w:val="top"/>
                </w:tcPr>
                <w:p>
                  <w:r>
                    <w:t xml:space="preserve"> </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Data is collected at the reception assessment on the National Prisoner Health Census Prison Entrants form. Respondents may respond 'yes' to both 'on it now' and 'in the past'.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49f93d33ee9047ac">
              <w:r>
                <w:rPr>
                  <w:rStyle w:val="Hyperlink"/>
                </w:rPr>
                <w:t xml:space="preserve">Kastelic A, Pont J &amp; Stover H 2008. Opioid substitution treatment in custodial settings: a practical guide. Oldenburg: BIS-Verlag.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0361d8808944c45">
              <w:r>
                <w:rPr>
                  <w:rStyle w:val="Hyperlink"/>
                </w:rPr>
                <w:t xml:space="preserve">Opioid pharmacotherapy treatment cluster</w:t>
              </w:r>
            </w:hyperlink>
          </w:p>
          <w:p>
            <w:pPr>
              <w:pStyle w:val="registration-status"/>
              <w:spacing w:before="0" w:after="0"/>
            </w:pPr>
            <w:hyperlink w:history="true" r:id="R3ef848d6631b4a23">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3bbb4d3a5b84344">
              <w:r>
                <w:rPr>
                  <w:rStyle w:val="Hyperlink"/>
                </w:rPr>
                <w:t xml:space="preserve">Prison entrants DSS</w:t>
              </w:r>
            </w:hyperlink>
          </w:p>
          <w:p>
            <w:pPr>
              <w:pStyle w:val="registration-status"/>
              <w:spacing w:before="0" w:after="0"/>
            </w:pPr>
            <w:hyperlink w:history="true" r:id="Rc7ac8d099fa84a82">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f2691f6a7e9e4065">
                    <w:r>
                      <w:rPr>
                        <w:rStyle w:val="Hyperlink"/>
                      </w:rPr>
                      <w:t xml:space="preserve">Person—previous opioid pharmacotherapy treatment program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08be0805ff744679">
                    <w:r>
                      <w:rPr>
                        <w:rStyle w:val="Hyperlink"/>
                      </w:rPr>
                      <w:t xml:space="preserve">Person—current opioid pharmacotherapy treatment program indicator, yes/no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 entrants who report being on pharmacotherapy medication for opioid dependence.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7cdaa1eef99d420a">
                    <w:r>
                      <w:rPr>
                        <w:rStyle w:val="Hyperlink"/>
                      </w:rPr>
                      <w:t xml:space="preserve">Person—type of opioid pharmacotherapy treatment, code N</w:t>
                    </w:r>
                  </w:hyperlink>
                </w:p>
                <w:p>
                  <w:r>
                    <w:rPr>
                      <w:b/>
                      <w:i/>
                      <w:color w:val="333333"/>
                    </w:rPr>
                    <w:t xml:space="preserve">Conditional obligation:</w:t>
                  </w:r>
                </w:p>
                <w:p>
                  <w:r>
                    <w:t xml:space="preserve">Conditional on the respondent indicating that they are currently on, or have been on a pharmacotherapy for opioid dependence.</w:t>
                  </w:r>
                </w:p>
                <w:p>
                  <w:r>
                    <w:rPr>
                      <w:b/>
                      <w:i/>
                      <w:color w:val="333333"/>
                    </w:rPr>
                    <w:t xml:space="preserve">DSS specific information:</w:t>
                  </w:r>
                </w:p>
                <w:p>
                  <w:r>
                    <w:t xml:space="preserve">This data element occurs twice: once for past treatment and once for current treatment.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bl>
          <w:p/>
        </w:tc>
      </w:tr>
    </w:tbl>
    <w:p>
      <w:r>
        <w:br/>
      </w:r>
    </w:p>
    <w:sectPr>
      <w:footerReference xmlns:r="http://schemas.openxmlformats.org/officeDocument/2006/relationships" w:type="default" r:id="R5051b3795b1047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407265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6ce178204349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51b3795b104700" /><Relationship Type="http://schemas.openxmlformats.org/officeDocument/2006/relationships/header" Target="/word/header1.xml" Id="Rfa695d1f7bf44dc1" /><Relationship Type="http://schemas.openxmlformats.org/officeDocument/2006/relationships/settings" Target="/word/settings.xml" Id="Rf7edd01f52af4551" /><Relationship Type="http://schemas.openxmlformats.org/officeDocument/2006/relationships/styles" Target="/word/styles.xml" Id="Rd1a1fe18100d4698" /><Relationship Type="http://schemas.openxmlformats.org/officeDocument/2006/relationships/numbering" Target="/word/numbering.xml" Id="R92ed11f33e814985" /><Relationship Type="http://schemas.openxmlformats.org/officeDocument/2006/relationships/hyperlink" Target="https://meteor-uat.aihw.gov.au/RegistrationAuthority/14" TargetMode="External" Id="R4cfb37579e814a4c" /><Relationship Type="http://schemas.openxmlformats.org/officeDocument/2006/relationships/hyperlink" Target="http://www.unodc.org/documents/balticstates/Library/PrisonSettings/OST_in_Custodial_Settings.pdf" TargetMode="External" Id="R49f93d33ee9047ac" /><Relationship Type="http://schemas.openxmlformats.org/officeDocument/2006/relationships/hyperlink" Target="https://meteor-uat.aihw.gov.au/content/626820" TargetMode="External" Id="R00361d8808944c45" /><Relationship Type="http://schemas.openxmlformats.org/officeDocument/2006/relationships/hyperlink" Target="https://meteor-uat.aihw.gov.au/RegistrationAuthority/14" TargetMode="External" Id="R3ef848d6631b4a23" /><Relationship Type="http://schemas.openxmlformats.org/officeDocument/2006/relationships/hyperlink" Target="https://meteor-uat.aihw.gov.au/content/395955" TargetMode="External" Id="Rd3bbb4d3a5b84344" /><Relationship Type="http://schemas.openxmlformats.org/officeDocument/2006/relationships/hyperlink" Target="https://meteor-uat.aihw.gov.au/RegistrationAuthority/14" TargetMode="External" Id="Rc7ac8d099fa84a82" /><Relationship Type="http://schemas.openxmlformats.org/officeDocument/2006/relationships/hyperlink" Target="https://meteor-uat.aihw.gov.au/content/404739" TargetMode="External" Id="Rf2691f6a7e9e4065" /><Relationship Type="http://schemas.openxmlformats.org/officeDocument/2006/relationships/hyperlink" Target="https://meteor-uat.aihw.gov.au/content/404745" TargetMode="External" Id="R08be0805ff744679" /><Relationship Type="http://schemas.openxmlformats.org/officeDocument/2006/relationships/hyperlink" Target="https://meteor-uat.aihw.gov.au/content/404753" TargetMode="External" Id="R7cdaa1eef99d420a" /></Relationships>
</file>

<file path=word/_rels/header1.xml.rels>&#65279;<?xml version="1.0" encoding="utf-8"?><Relationships xmlns="http://schemas.openxmlformats.org/package/2006/relationships"><Relationship Type="http://schemas.openxmlformats.org/officeDocument/2006/relationships/image" Target="/media/image.png" Id="R3d6ce1782043494a" /></Relationships>
</file>