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2dc67cbe7c4d61"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text [X(150)]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text [X(150)]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b5c863a03409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initial course of treatment for cancer, other than surgery, radiotherapy or systemic therapy,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f6316a20d1429e">
              <w:r>
                <w:rPr>
                  <w:rStyle w:val="Hyperlink"/>
                </w:rPr>
                <w:t xml:space="preserve">Cancer treatment—other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92b67c236b4772">
              <w:r>
                <w:rPr>
                  <w:rStyle w:val="Hyperlink"/>
                </w:rPr>
                <w:t xml:space="preserve">Other cancer treatment 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to record cancer-directed treatments that cannot be appropriately assigned to the specific treatment codes in the cancer treatment data items for surgery, radiotherapy, systemic therapy agents and systemic therapy procedures.</w:t>
            </w:r>
          </w:p>
          <w:p>
            <w:pPr>
              <w:spacing w:after="160"/>
            </w:pPr>
            <w:r>
              <w:rPr>
                <w:rStyle w:val="row-content-rich-text"/>
              </w:rPr>
              <w:t xml:space="preserve">Cancer-directed treatments refer to those treatments that destroy or modify cancer tissue anywhere in the body. The exception to this is treatments for hematopoietic diseases (refer to additional notes below).</w:t>
            </w:r>
          </w:p>
          <w:p>
            <w:pPr>
              <w:spacing w:after="160"/>
            </w:pPr>
            <w:r>
              <w:rPr>
                <w:rStyle w:val="row-content-rich-text"/>
              </w:rPr>
              <w:t xml:space="preserve">Cancer-directed treatments may be palliative (to control symptoms, alleviate pain, or make the patient more comfortable) or curative.</w:t>
            </w:r>
          </w:p>
          <w:p>
            <w:pPr>
              <w:spacing w:after="160"/>
            </w:pPr>
            <w:r>
              <w:rPr>
                <w:rStyle w:val="row-content-rich-text"/>
              </w:rPr>
              <w:t xml:space="preserve">Record all other treatments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Each treatment event delivered to the patient should be recorded; multiple entries are permitted.</w:t>
            </w:r>
          </w:p>
          <w:p>
            <w:pPr>
              <w:spacing w:after="160"/>
            </w:pPr>
            <w:r>
              <w:rPr>
                <w:rStyle w:val="row-content-rich-text"/>
              </w:rPr>
              <w:t xml:space="preserve">Record antibody treatments, vaccine treatments, and those targeted therapies that use drugs or substances other than chemotherapy agents in this data item. Targeted therapies using chemotherapy agents are recorded in the data items for chemotherapy. Targeted therapies are treatments that use drugs or other substances to identify and attack specific cancer cells.</w:t>
            </w:r>
          </w:p>
          <w:p>
            <w:pPr>
              <w:spacing w:after="160"/>
            </w:pPr>
            <w:r>
              <w:rPr>
                <w:rStyle w:val="row-content-rich-text"/>
              </w:rPr>
              <w:t xml:space="preserve">Do not record ancillary drugs. For example, allopurinol, which is commonly used as prophylaxis with chemotherapy agents to prevent severe hyperuricemia. A list of drugs regarded as ancillary is available in the SEER*Rx-Interactive Antineoplastic Drugs Database Version 1.4.1.</w:t>
            </w:r>
          </w:p>
          <w:p>
            <w:pPr>
              <w:spacing w:after="160"/>
            </w:pPr>
            <w:r>
              <w:rPr>
                <w:rStyle w:val="row-content-rich-text"/>
              </w:rPr>
              <w:t xml:space="preserve">Treatment events may include (for example):</w:t>
            </w:r>
          </w:p>
          <w:p>
            <w:pPr>
              <w:pStyle w:val="ListParagraph"/>
              <w:numPr>
                <w:ilvl w:val="0"/>
                <w:numId w:val="2"/>
              </w:numPr>
            </w:pPr>
            <w:r>
              <w:rPr>
                <w:rStyle w:val="row-content-rich-text"/>
              </w:rPr>
              <w:t xml:space="preserve">Treatment unique to hematopoietic diseases, for example, phlebotomy, transfusions or aspirin. ONLY record aspirin therapy used to thin the blood for symptomatic control of thrombocythemia. Do not record aspirin used for pain or cardiovascular protection.</w:t>
            </w:r>
          </w:p>
          <w:p>
            <w:pPr>
              <w:pStyle w:val="ListParagraph"/>
              <w:numPr>
                <w:ilvl w:val="0"/>
                <w:numId w:val="2"/>
              </w:numPr>
            </w:pPr>
            <w:r>
              <w:rPr>
                <w:rStyle w:val="row-content-rich-text"/>
              </w:rP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A double-blind clinical trial. Record the treatment actually administered to the patient in the appropriate treatment data item when the double-blind trial code is broken.</w:t>
            </w:r>
          </w:p>
          <w:p>
            <w:pPr>
              <w:pStyle w:val="ListParagraph"/>
              <w:numPr>
                <w:ilvl w:val="0"/>
                <w:numId w:val="2"/>
              </w:numPr>
            </w:pPr>
            <w:r>
              <w:rPr>
                <w:rStyle w:val="row-content-rich-text"/>
              </w:rPr>
              <w:t xml:space="preserve">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other cancer treatments is used to describe and evaluate the quality of care and treatment practices.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dc8dbe77f24193">
              <w:r>
                <w:rPr>
                  <w:rStyle w:val="Hyperlink"/>
                </w:rPr>
                <w:t xml:space="preserve">Cancer treatment—other cancer treatment, text X[X(149)]</w:t>
              </w:r>
            </w:hyperlink>
          </w:p>
          <w:p>
            <w:pPr>
              <w:pStyle w:val="registration-status"/>
              <w:spacing w:before="0" w:after="0"/>
            </w:pPr>
            <w:hyperlink w:history="true" r:id="Rc8739d1dba0a4b9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c64eda1c5bf4e70">
              <w:r>
                <w:rPr>
                  <w:rStyle w:val="Hyperlink"/>
                </w:rPr>
                <w:t xml:space="preserve">Cancer treatment—cancer treatment type, code N[N]</w:t>
              </w:r>
            </w:hyperlink>
          </w:p>
          <w:p>
            <w:pPr>
              <w:pStyle w:val="registration-status"/>
              <w:spacing w:before="0" w:after="0"/>
            </w:pPr>
            <w:hyperlink w:history="true" r:id="R82656686a4c8497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8a36cec1724eea">
              <w:r>
                <w:rPr>
                  <w:rStyle w:val="Hyperlink"/>
                </w:rPr>
                <w:t xml:space="preserve">Cancer (clinical) DSS</w:t>
              </w:r>
            </w:hyperlink>
          </w:p>
          <w:p>
            <w:pPr>
              <w:pStyle w:val="registration-status"/>
              <w:spacing w:before="0" w:after="0"/>
            </w:pPr>
            <w:hyperlink w:history="true" r:id="R4ad8bb36ae0445dd">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having treatment that cannot be defined as surgery, radiotherapy or systemic therapy according to the definitions of those data items in this data set specification.</w:t>
            </w:r>
            <w:r>
              <w:br/>
            </w:r>
            <w:r>
              <w:br/>
            </w:r>
          </w:p>
        </w:tc>
      </w:tr>
    </w:tbl>
    <w:p/>
    <w:tbl>
      <w:tblPr>
        <w:tblStyle w:val="TableGrid"/>
        <w:tblW w:w="0" w:type="auto"/>
      </w:tblPr>
    </w:tbl>
    <w:p>
      <w:r>
        <w:br/>
      </w:r>
    </w:p>
    <w:sectPr>
      <w:footerReference xmlns:r="http://schemas.openxmlformats.org/officeDocument/2006/relationships" w:type="default" r:id="R4ca884fd3615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fac1c3613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884fd36154fd9" /><Relationship Type="http://schemas.openxmlformats.org/officeDocument/2006/relationships/header" Target="/word/header1.xml" Id="Rfd13822e73b7443e" /><Relationship Type="http://schemas.openxmlformats.org/officeDocument/2006/relationships/settings" Target="/word/settings.xml" Id="R791cb0df88e84bea" /><Relationship Type="http://schemas.openxmlformats.org/officeDocument/2006/relationships/styles" Target="/word/styles.xml" Id="Rd43cb455bade4700" /><Relationship Type="http://schemas.openxmlformats.org/officeDocument/2006/relationships/numbering" Target="/word/numbering.xml" Id="Ra6c9630bc407482f" /><Relationship Type="http://schemas.openxmlformats.org/officeDocument/2006/relationships/hyperlink" Target="https://meteor-uat.aihw.gov.au/RegistrationAuthority/14" TargetMode="External" Id="Rbcfb5c863a03409b" /><Relationship Type="http://schemas.openxmlformats.org/officeDocument/2006/relationships/hyperlink" Target="https://meteor-uat.aihw.gov.au/content/403840" TargetMode="External" Id="Rdbf6316a20d1429e" /><Relationship Type="http://schemas.openxmlformats.org/officeDocument/2006/relationships/hyperlink" Target="https://meteor-uat.aihw.gov.au/content/409006" TargetMode="External" Id="R5f92b67c236b4772" /><Relationship Type="http://schemas.openxmlformats.org/officeDocument/2006/relationships/hyperlink" Target="https://meteor-uat.aihw.gov.au/content/561623" TargetMode="External" Id="R07dc8dbe77f24193" /><Relationship Type="http://schemas.openxmlformats.org/officeDocument/2006/relationships/hyperlink" Target="https://meteor-uat.aihw.gov.au/RegistrationAuthority/14" TargetMode="External" Id="Rc8739d1dba0a4b9a" /><Relationship Type="http://schemas.openxmlformats.org/officeDocument/2006/relationships/hyperlink" Target="https://meteor-uat.aihw.gov.au/content/399629" TargetMode="External" Id="R6c64eda1c5bf4e70" /><Relationship Type="http://schemas.openxmlformats.org/officeDocument/2006/relationships/hyperlink" Target="https://meteor-uat.aihw.gov.au/RegistrationAuthority/14" TargetMode="External" Id="R82656686a4c84973" /><Relationship Type="http://schemas.openxmlformats.org/officeDocument/2006/relationships/hyperlink" Target="https://meteor-uat.aihw.gov.au/content/394731" TargetMode="External" Id="Rf68a36cec1724eea" /><Relationship Type="http://schemas.openxmlformats.org/officeDocument/2006/relationships/hyperlink" Target="https://meteor-uat.aihw.gov.au/RegistrationAuthority/14" TargetMode="External" Id="R4ad8bb36ae0445dd" /></Relationships>
</file>

<file path=word/_rels/header1.xml.rels>&#65279;<?xml version="1.0" encoding="utf-8"?><Relationships xmlns="http://schemas.openxmlformats.org/package/2006/relationships"><Relationship Type="http://schemas.openxmlformats.org/officeDocument/2006/relationships/image" Target="/media/image.png" Id="R059fac1c36134bb7" /></Relationships>
</file>